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341d1_6k.htm"/>
      <w:bookmarkStart w:id="1" w:name="kstm262434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28" w:type="dxa"/>
          <w:right w:w="0" w:type="dxa"/>
        </w:tblCellMar>
      </w:tblPr>
      <w:tblGrid>
        <w:gridCol w:w="995"/>
        <w:gridCol w:w="60"/>
        <w:gridCol w:w="447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434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4341d1_ex99-1.htm">
              <w:r>
                <w:rPr>
                  <w:rStyle w:val="InternetLink"/>
                  <w:rFonts w:ascii="Times New Roman;Times;Serif" w:hAnsi="Times New Roman;Times;Serif"/>
                  <w:sz w:val="20"/>
                </w:rPr>
                <w:t>Next Day Disclosure Return Dated</w:t>
              </w:r>
            </w:hyperlink>
            <w:hyperlink w:anchor="tm2624341d1_ex99-1.htm">
              <w:r>
                <w:rPr>
                  <w:rStyle w:val="InternetLink"/>
                </w:rPr>
                <w:t xml:space="preserve"> </w:t>
              </w:r>
            </w:hyperlink>
            <w:hyperlink w:anchor="tm2624341d1_ex99-1.htm">
              <w:r>
                <w:rPr>
                  <w:rStyle w:val="InternetLink"/>
                  <w:rFonts w:ascii="Times New Roman;Times;Serif" w:hAnsi="Times New Roman;Times;Serif"/>
                </w:rPr>
                <w:t>August 26, 2026</w:t>
              </w:r>
            </w:hyperlink>
          </w:p>
        </w:tc>
      </w:tr>
      <w:tr>
        <w:trPr/>
        <w:tc>
          <w:tcPr>
            <w:tcW w:w="995" w:type="dxa"/>
            <w:tcBorders/>
            <w:tcMar>
              <w:bottom w:w="0" w:type="dxa"/>
            </w:tcMar>
            <w:vAlign w:val="center"/>
          </w:tcPr>
          <w:p>
            <w:pPr>
              <w:pStyle w:val="TableContents"/>
              <w:bidi w:val="0"/>
              <w:spacing w:before="0" w:after="283"/>
              <w:jc w:val="center"/>
              <w:rPr/>
            </w:pPr>
            <w:hyperlink w:anchor="tm262434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4341d1_ex99-2.htm">
              <w:r>
                <w:rPr>
                  <w:rStyle w:val="InternetLink"/>
                  <w:rFonts w:ascii="Times New Roman;Times;Serif" w:hAnsi="Times New Roman;Times;Serif"/>
                  <w:sz w:val="20"/>
                </w:rPr>
                <w:t>Next Day Disclosure Return Dated</w:t>
              </w:r>
            </w:hyperlink>
            <w:hyperlink w:anchor="tm2624341d1_ex99-2.htm">
              <w:r>
                <w:rPr>
                  <w:rStyle w:val="InternetLink"/>
                </w:rPr>
                <w:t xml:space="preserve"> </w:t>
              </w:r>
            </w:hyperlink>
            <w:hyperlink w:anchor="tm2624341d1_ex99-2.htm">
              <w:r>
                <w:rPr>
                  <w:rStyle w:val="InternetLink"/>
                  <w:rFonts w:ascii="Times New Roman;Times;Serif" w:hAnsi="Times New Roman;Times;Serif"/>
                </w:rPr>
                <w:t>August 27, 2026</w:t>
              </w:r>
            </w:hyperlink>
          </w:p>
        </w:tc>
      </w:tr>
      <w:tr>
        <w:trPr/>
        <w:tc>
          <w:tcPr>
            <w:tcW w:w="995" w:type="dxa"/>
            <w:tcBorders/>
            <w:tcMar>
              <w:bottom w:w="0" w:type="dxa"/>
            </w:tcMar>
            <w:vAlign w:val="center"/>
          </w:tcPr>
          <w:p>
            <w:pPr>
              <w:pStyle w:val="TableContents"/>
              <w:bidi w:val="0"/>
              <w:spacing w:before="0" w:after="283"/>
              <w:jc w:val="center"/>
              <w:rPr/>
            </w:pPr>
            <w:hyperlink w:anchor="tm2624341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hyperlink w:anchor="tm2624341d1_ex99-3.htm">
              <w:r>
                <w:rPr>
                  <w:rStyle w:val="InternetLink"/>
                  <w:rFonts w:ascii="Times New Roman;Times;Serif" w:hAnsi="Times New Roman;Times;Serif"/>
                  <w:sz w:val="20"/>
                </w:rPr>
                <w:t>Next Day Disclosure Return Dated</w:t>
              </w:r>
            </w:hyperlink>
            <w:hyperlink w:anchor="tm2624341d1_ex99-3.htm">
              <w:r>
                <w:rPr>
                  <w:rStyle w:val="InternetLink"/>
                </w:rPr>
                <w:t xml:space="preserve"> </w:t>
              </w:r>
            </w:hyperlink>
            <w:hyperlink w:anchor="tm2624341d1_ex99-3.htm">
              <w:r>
                <w:rPr>
                  <w:rStyle w:val="InternetLink"/>
                  <w:rFonts w:ascii="Times New Roman;Times;Serif" w:hAnsi="Times New Roman;Times;Serif"/>
                </w:rPr>
                <w:t>August 28,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bookmarkStart w:id="2" w:name="tm2624341d1_ex99-1.htm"/>
      <w:bookmarkStart w:id="3" w:name="kstm2624341d1_ex991"/>
      <w:bookmarkEnd w:id="2"/>
      <w:bookmarkEnd w:id="3"/>
      <w:r>
        <w:rPr>
          <w:rFonts w:ascii="Times New Roman;Times;Serif" w:hAnsi="Times New Roman;Times;Serif"/>
          <w:b/>
          <w:i w:val="false"/>
          <w:caps w:val="false"/>
          <w:smallCaps w:val="false"/>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26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14 August 2026 3,300,858,110 0 3,300,858,110 1). Other (please specify) See Part B Date of changes 25 August 2026 % Closing balance as at (Notes 5 and 6) 25 August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0.01 % USD 5.9461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25 August 2026 336,354 On another stock exchange New York Stock Exchange USD 6.03 USD 5.85 USD 1,999,994.52 Total number of shares repurchased 336,354 Aggregate price paid $ USD 1,999,994.52 Number of shares repurchased for cancellation 336,354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28,612,069 4). As a % of number of issued shares (excluding treasury shares) as at the date of the resolution granting the repurchase mandate (a) x 100 / number of issued shares (excluding treasury shares) as at the date of the resolution granting the repurchase mandate 0.826 % 5). Moratorium period for any issue of new shares, or sale or transfer of treasury shares after the share repurchase(s) set out in Part A (Note 2) Up to 24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rFonts w:ascii="Times New Roman;Times;Serif" w:hAnsi="Times New Roman;Times;Serif"/>
          <w:b/>
          <w:i w:val="false"/>
          <w:caps w:val="false"/>
          <w:smallCaps w:val="false"/>
          <w:sz w:val="20"/>
        </w:rPr>
      </w:pPr>
      <w:bookmarkStart w:id="4" w:name="tm2624341d1_ex99-2.htm"/>
      <w:bookmarkStart w:id="5" w:name="kstm2624341d1_ex992"/>
      <w:bookmarkEnd w:id="4"/>
      <w:bookmarkEnd w:id="5"/>
      <w:r>
        <w:rPr>
          <w:rFonts w:ascii="Times New Roman;Times;Serif" w:hAnsi="Times New Roman;Times;Serif"/>
          <w:b/>
          <w:i w:val="false"/>
          <w:caps w:val="false"/>
          <w:smallCaps w:val="false"/>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27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25 August 2026 3,300,858,110 0 3,300,858,110 1). Other (please specify) See Part B Date of changes 26 August 2026 % Closing balance as at (Notes 5 and 6) 26 August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0.01 % USD 6.0112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26 August 2026 332,712 On another stock exchange New York Stock Exchange USD 6.16 USD 5.96 USD 1,999,998.37 Total number of shares repurchased 332,712 Aggregate price paid $ USD 1,999,998.37 Number of shares repurchased for cancellation 332,712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28,944,781 4). As a % of number of issued shares (excluding treasury shares) as at the date of the resolution granting the repurchase mandate (a) x 100 / number of issued shares (excluding treasury shares) as at the date of the resolution granting the repurchase mandate 0.836 % 5). Moratorium period for any issue of new shares, or sale or transfer of treasury shares after the share repurchase(s) set out in Part A (Note 2) Up to 25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right"/>
        <w:rPr>
          <w:rFonts w:ascii="Times New Roman;Times;Serif" w:hAnsi="Times New Roman;Times;Serif"/>
          <w:b/>
          <w:i w:val="false"/>
          <w:caps w:val="false"/>
          <w:smallCaps w:val="false"/>
          <w:sz w:val="20"/>
        </w:rPr>
      </w:pPr>
      <w:bookmarkStart w:id="6" w:name="tm2624341d1_ex99-3.htm"/>
      <w:bookmarkStart w:id="7" w:name="kstm2624341d1_ex993"/>
      <w:bookmarkEnd w:id="6"/>
      <w:bookmarkEnd w:id="7"/>
      <w:r>
        <w:rPr>
          <w:rFonts w:ascii="Times New Roman;Times;Serif" w:hAnsi="Times New Roman;Times;Serif"/>
          <w:b/>
          <w:i w:val="false"/>
          <w:caps w:val="false"/>
          <w:smallCaps w:val="false"/>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28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26 August 2026 3,300,858,110 0 3,300,858,110 1). Other (please specify) See Part B Date of changes 27 August 2026 % Closing balance as at (Notes 5 and 6) 27 August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0.01 % USD 5.9253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27 August 2026 337,191 On another stock exchange New York Stock Exchange USD 5.98 USD 5.9 USD 1,997,946.59 Total number of shares repurchased 337,191 Aggregate price paid $ USD 1,997,946.59 Number of shares repurchased for cancellation 337,191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29,281,972 4). As a % of number of issued shares (excluding treasury shares) as at the date of the resolution granting the repurchase mandate (a) x 100 / number of issued shares (excluding treasury shares) as at the date of the resolution granting the repurchase mandate 0.846 % 5). Moratorium period for any issue of new shares, or sale or transfer of treasury shares after the share repurchase(s) set out in Part A (Note 2) Up to 26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10.jpeg"/><Relationship Id="rId14" Type="http://schemas.openxmlformats.org/officeDocument/2006/relationships/image" Target="media/image5.jpeg"/><Relationship Id="rId15" Type="http://schemas.openxmlformats.org/officeDocument/2006/relationships/image" Target="media/image11.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12.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13.jpeg"/><Relationship Id="rId22" Type="http://schemas.openxmlformats.org/officeDocument/2006/relationships/image" Target="media/image5.jpeg"/><Relationship Id="rId23" Type="http://schemas.openxmlformats.org/officeDocument/2006/relationships/image" Target="media/image14.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6031</Words>
  <Characters>29154</Characters>
  <CharactersWithSpaces>35184</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