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266065</wp:posOffset>
            </wp:positionV>
            <wp:extent cx="7174865" cy="12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289560</wp:posOffset>
            </wp:positionV>
            <wp:extent cx="7174865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124460</wp:posOffset>
            </wp:positionV>
            <wp:extent cx="1789430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ind w:left="5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138430</wp:posOffset>
            </wp:positionV>
            <wp:extent cx="1789430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REPORT OF FOREIGN PRIVATE ISSUER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PURSUANT TO RULE 13a-16 OR 15d-16 UNDER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THE SECURITIES EXCHANGE ACT OF 1934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For the month of May 2026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4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Commission File Number: 001-39436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134620</wp:posOffset>
            </wp:positionV>
            <wp:extent cx="1789430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KE Holdings Inc.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(Registrant’s Name)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124460</wp:posOffset>
            </wp:positionV>
            <wp:extent cx="1789430" cy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Oriental Electronic Technology Building,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No. 2 Chuangye Road, Haidian District,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Beijing 100086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People’s Republic of China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125730</wp:posOffset>
            </wp:positionV>
            <wp:extent cx="1789430" cy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Form 20-F or Form 40-F.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4880"/>
        <w:spacing w:after="0" w:line="138" w:lineRule="exact"/>
        <w:tabs>
          <w:tab w:leader="none" w:pos="5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Form 20-F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ab/>
        <w:t xml:space="preserve">Form 40-F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149860</wp:posOffset>
            </wp:positionV>
            <wp:extent cx="7174865" cy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167640</wp:posOffset>
            </wp:positionV>
            <wp:extent cx="7174865" cy="120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498475</wp:posOffset>
            </wp:positionV>
            <wp:extent cx="7174865" cy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651" w:right="1440" w:bottom="144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60" w:type="dxa"/>
            <w:vAlign w:val="bottom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 INDEX</w:t>
            </w:r>
          </w:p>
        </w:tc>
      </w:tr>
      <w:tr>
        <w:trPr>
          <w:trHeight w:val="298"/>
        </w:trPr>
        <w:tc>
          <w:tcPr>
            <w:tcW w:w="13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 No.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bottom w:val="single" w:sz="8" w:color="auto"/>
            </w:tcBorders>
          </w:tcPr>
          <w:p>
            <w:pPr>
              <w:ind w:left="2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Description</w:t>
            </w:r>
          </w:p>
        </w:tc>
      </w:tr>
      <w:tr>
        <w:trPr>
          <w:trHeight w:val="121"/>
        </w:trPr>
        <w:tc>
          <w:tcPr>
            <w:tcW w:w="1360" w:type="dxa"/>
            <w:vAlign w:val="bottom"/>
            <w:gridSpan w:val="3"/>
          </w:tcPr>
          <w:p>
            <w:pPr>
              <w:jc w:val="center"/>
              <w:ind w:right="5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720" w:type="dxa"/>
            <w:vAlign w:val="bottom"/>
            <w:gridSpan w:val="2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 Dated May 22, 2026</w:t>
            </w:r>
          </w:p>
        </w:tc>
      </w:tr>
      <w:tr>
        <w:trPr>
          <w:trHeight w:val="473"/>
        </w:trPr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SIGNATURES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KE Holdings Inc.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By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5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/s/ XU Tao</w:t>
            </w:r>
          </w:p>
        </w:tc>
      </w:tr>
      <w:tr>
        <w:trPr>
          <w:trHeight w:val="126"/>
        </w:trPr>
        <w:tc>
          <w:tcPr>
            <w:tcW w:w="38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Name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18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508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XU Tao</w:t>
            </w:r>
          </w:p>
        </w:tc>
      </w:tr>
      <w:tr>
        <w:trPr>
          <w:trHeight w:val="160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5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Chief Financial Officer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Date: May 26,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310515</wp:posOffset>
            </wp:positionV>
            <wp:extent cx="7174865" cy="57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3" w:name="page4"/>
    <w:bookmarkEnd w:id="3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140335</wp:posOffset>
            </wp:positionV>
            <wp:extent cx="6897370" cy="512572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2026-05-26T05:28:38Z</dcterms:created>
  <dcterms:modified xsi:type="dcterms:W3CDTF">2026-05-26T05:28:38Z</dcterms:modified>
</cp:coreProperties>
</file>