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KE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shares, par value US$0.00002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Baihui Partners L.P.</w:t>
              <w:br/>
              <w:t>Oriental Electronic Technology Building, No. 2 Chuangye Road, Haidian District</w:t>
              <w:br/>
              <w:t>Beijing, F4, 100086</w:t>
              <w:br/>
              <w:t>86 10 5810 4689</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Baihui Partners L.P.</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849,601,280.00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849,601,280.00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24.7 %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Represents 849,601,280 Class A ordinary shares held by Propitious Global Holdings Limited, over which Baihui Partners L.P. acquired voting power pursuant to an Irrevocable Proxy and Power of Attorney (as amended) executed and delivered by Propitious Global Holdings Limited. Calculation of percentage is based on a total of 3,435,761,272 issued ordinary shares (consisting of 3,300,858,110 Class A ordinary shares and 134,903,162 Class B ordinary shares) of the Issuer as of August 14, 2026 as a single class, reported on the Issuer's current report on Form 6-K filed on August 17,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43"/>
        <w:gridCol w:w="8892"/>
        <w:gridCol w:w="170"/>
      </w:tblGrid>
      <w:tr>
        <w:trPr/>
        <w:tc>
          <w:tcPr>
            <w:tcW w:w="1143"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Security and Issuer</w:t>
            </w:r>
          </w:p>
        </w:tc>
        <w:tc>
          <w:tcPr>
            <w:tcW w:w="170"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US$0.00002 per share</w:t>
            </w:r>
          </w:p>
        </w:tc>
        <w:tc>
          <w:tcPr>
            <w:tcW w:w="170"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KE Holdings Inc.</w:t>
            </w:r>
          </w:p>
        </w:tc>
        <w:tc>
          <w:tcPr>
            <w:tcW w:w="170"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Oriental Electronic Technology Building, No. 2 Chuangye Road, Haidian District, Beijing, CHINA , 100086.</w:t>
            </w:r>
          </w:p>
        </w:tc>
        <w:tc>
          <w:tcPr>
            <w:tcW w:w="170"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Pursuant to Rule 13d-2 promulgated under the Act, this Amendment No. 3 to Statement on Schedule 13D (this "Amendment") amends and supplements the Statement on Schedule 13D originally filed with the U.S. Securities and Exchange Commission (the "Commission") on July 29, 2021 as amended and supplemented by Amendment No. 1 filed with the Commission on November 8, 2021 and Amendment No. 2 filed with the Commission on May 18, 2022 (the "Statement"). Except as specifically provided herein, this Amendment does not modify any of the information previously reported in the Statement. All capitalized terms used herein which are not defined herein have the meanings given to such terms in the Statement.</w:t>
            </w:r>
          </w:p>
        </w:tc>
      </w:tr>
      <w:tr>
        <w:trPr/>
        <w:tc>
          <w:tcPr>
            <w:tcW w:w="1143" w:type="dxa"/>
            <w:tcBorders/>
            <w:vAlign w:val="center"/>
          </w:tcPr>
          <w:p>
            <w:pPr>
              <w:pStyle w:val="TableContents"/>
              <w:bidi w:val="0"/>
              <w:spacing w:before="0" w:after="283"/>
              <w:jc w:val="left"/>
              <w:rPr/>
            </w:pPr>
            <w:r>
              <w:rPr/>
              <w:t>Item 2.</w:t>
            </w:r>
          </w:p>
        </w:tc>
        <w:tc>
          <w:tcPr>
            <w:tcW w:w="8892" w:type="dxa"/>
            <w:tcBorders/>
            <w:vAlign w:val="center"/>
          </w:tcPr>
          <w:p>
            <w:pPr>
              <w:pStyle w:val="TableContents"/>
              <w:bidi w:val="0"/>
              <w:spacing w:before="0" w:after="283"/>
              <w:jc w:val="left"/>
              <w:rPr/>
            </w:pPr>
            <w:r>
              <w:rPr/>
              <w:t>Identity and Background</w:t>
            </w:r>
          </w:p>
        </w:tc>
        <w:tc>
          <w:tcPr>
            <w:tcW w:w="170"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0"/>
              <w:jc w:val="left"/>
              <w:rPr/>
            </w:pPr>
            <w:r>
              <w:rPr/>
              <w:t>No change from the Statement.</w:t>
            </w:r>
          </w:p>
        </w:tc>
        <w:tc>
          <w:tcPr>
            <w:tcW w:w="170"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0"/>
              <w:jc w:val="left"/>
              <w:rPr/>
            </w:pPr>
            <w:r>
              <w:rPr/>
              <w:t>No change from the Statement.</w:t>
            </w:r>
          </w:p>
        </w:tc>
        <w:tc>
          <w:tcPr>
            <w:tcW w:w="170"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0"/>
              <w:jc w:val="left"/>
              <w:rPr/>
            </w:pPr>
            <w:r>
              <w:rPr/>
              <w:t>No change from the Statement.</w:t>
            </w:r>
          </w:p>
        </w:tc>
        <w:tc>
          <w:tcPr>
            <w:tcW w:w="170"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0"/>
              <w:jc w:val="left"/>
              <w:rPr/>
            </w:pPr>
            <w:r>
              <w:rPr/>
              <w:t>No change from the Statement.</w:t>
            </w:r>
          </w:p>
        </w:tc>
        <w:tc>
          <w:tcPr>
            <w:tcW w:w="170"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0"/>
              <w:jc w:val="left"/>
              <w:rPr/>
            </w:pPr>
            <w:r>
              <w:rPr/>
              <w:t>No change from the Statement.</w:t>
            </w:r>
          </w:p>
        </w:tc>
        <w:tc>
          <w:tcPr>
            <w:tcW w:w="170"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(f)</w:t>
            </w:r>
          </w:p>
        </w:tc>
        <w:tc>
          <w:tcPr>
            <w:tcW w:w="8892" w:type="dxa"/>
            <w:tcBorders/>
            <w:vAlign w:val="center"/>
          </w:tcPr>
          <w:p>
            <w:pPr>
              <w:pStyle w:val="TableContents"/>
              <w:bidi w:val="0"/>
              <w:spacing w:before="0" w:after="0"/>
              <w:jc w:val="left"/>
              <w:rPr/>
            </w:pPr>
            <w:r>
              <w:rPr/>
              <w:t>No change from the Statement.</w:t>
            </w:r>
          </w:p>
        </w:tc>
        <w:tc>
          <w:tcPr>
            <w:tcW w:w="170"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3.</w:t>
            </w:r>
          </w:p>
        </w:tc>
        <w:tc>
          <w:tcPr>
            <w:tcW w:w="8892" w:type="dxa"/>
            <w:tcBorders/>
            <w:vAlign w:val="center"/>
          </w:tcPr>
          <w:p>
            <w:pPr>
              <w:pStyle w:val="TableContents"/>
              <w:bidi w:val="0"/>
              <w:spacing w:before="0" w:after="283"/>
              <w:jc w:val="left"/>
              <w:rPr/>
            </w:pPr>
            <w:r>
              <w:rPr/>
              <w:t>Source and Amount of Funds or Other Consideration</w:t>
            </w:r>
          </w:p>
        </w:tc>
        <w:tc>
          <w:tcPr>
            <w:tcW w:w="170"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No change from the Statement. The securities beneficially owned by the Reporting Person did no change in the past 60 days, and this Amendment is being filed to reflect a change in the beneficial ownership percentage of the Reporting Person due to a change in the number of ordinary shares issued of the Issuer, following the completion of the Issuer's share repurchase and cancellation.</w:t>
            </w:r>
          </w:p>
        </w:tc>
        <w:tc>
          <w:tcPr>
            <w:tcW w:w="170"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Purpose of Transaction</w:t>
            </w:r>
          </w:p>
        </w:tc>
        <w:tc>
          <w:tcPr>
            <w:tcW w:w="170"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No change from the Statement.</w:t>
            </w:r>
          </w:p>
        </w:tc>
        <w:tc>
          <w:tcPr>
            <w:tcW w:w="170"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Interest in Securities of the Issuer</w:t>
            </w:r>
          </w:p>
        </w:tc>
        <w:tc>
          <w:tcPr>
            <w:tcW w:w="170"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0"/>
              <w:jc w:val="left"/>
              <w:rPr/>
            </w:pPr>
            <w:r>
              <w:rPr/>
              <w:t>Items 7 through 11 and Item 13 of the cover page of this Statement for the Reporting Person are incorporated herein by reference.</w:t>
            </w:r>
          </w:p>
        </w:tc>
        <w:tc>
          <w:tcPr>
            <w:tcW w:w="170"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0"/>
              <w:jc w:val="left"/>
              <w:rPr/>
            </w:pPr>
            <w:r>
              <w:rPr/>
              <w:t>Items 7 through 11 and Item 13 of the cover page of this Statement for the Reporting Person are incorporated herein by reference.</w:t>
            </w:r>
          </w:p>
        </w:tc>
        <w:tc>
          <w:tcPr>
            <w:tcW w:w="170"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0"/>
              <w:jc w:val="left"/>
              <w:rPr/>
            </w:pPr>
            <w:r>
              <w:rPr/>
              <w:t>To the knowledge of the Reporting Person, it has not effected any transactions in the Class A ordinary shares during the past 60 days.</w:t>
            </w:r>
          </w:p>
        </w:tc>
        <w:tc>
          <w:tcPr>
            <w:tcW w:w="17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416" w:type="dxa"/>
        <w:jc w:val="left"/>
        <w:tblInd w:w="0" w:type="dxa"/>
        <w:tblLayout w:type="fixed"/>
        <w:tblCellMar>
          <w:top w:w="28" w:type="dxa"/>
          <w:left w:w="28" w:type="dxa"/>
          <w:bottom w:w="28" w:type="dxa"/>
          <w:right w:w="28" w:type="dxa"/>
        </w:tblCellMar>
      </w:tblPr>
      <w:tblGrid>
        <w:gridCol w:w="2208"/>
        <w:gridCol w:w="2208"/>
      </w:tblGrid>
      <w:tr>
        <w:trPr/>
        <w:tc>
          <w:tcPr>
            <w:tcW w:w="2208" w:type="dxa"/>
            <w:tcBorders/>
            <w:vAlign w:val="center"/>
          </w:tcPr>
          <w:p>
            <w:pPr>
              <w:pStyle w:val="TableContents"/>
              <w:bidi w:val="0"/>
              <w:spacing w:before="0" w:after="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0"/>
                    <w:jc w:val="left"/>
                    <w:rPr/>
                  </w:pPr>
                  <w:r>
                    <w:rPr/>
                    <w:t>Baihui Partners L.P.</w:t>
                  </w:r>
                </w:p>
              </w:tc>
            </w:tr>
          </w:tbl>
          <w:p>
            <w:pPr>
              <w:pStyle w:val="TableContents"/>
              <w:bidi w:val="0"/>
              <w:spacing w:before="0" w:after="283"/>
              <w:jc w:val="left"/>
              <w:rPr/>
            </w:pPr>
            <w:r>
              <w:rPr/>
            </w:r>
          </w:p>
        </w:tc>
        <w:tc>
          <w:tcPr>
            <w:tcW w:w="22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SHAN Yigang</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SHAN Yigang, Authorized Signatory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827</Words>
  <Characters>4280</Characters>
  <CharactersWithSpaces>5047</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