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6676d1_6k.htm"/>
      <w:bookmarkStart w:id="1" w:name="kstm2626676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995"/>
        <w:gridCol w:w="60"/>
        <w:gridCol w:w="398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667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6676d1_ex99-1.htm">
              <w:r>
                <w:rPr>
                  <w:rStyle w:val="InternetLink"/>
                  <w:rFonts w:ascii="Times New Roman;Times;Serif" w:hAnsi="Times New Roman;Times;Serif"/>
                  <w:sz w:val="20"/>
                </w:rPr>
                <w:t>Announcement – Grant of Restricted Share Units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565" w:type="dxa"/>
            <w:gridSpan w:val="2"/>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6676d1_ex99-1.htm"/>
      <w:bookmarkStart w:id="3" w:name="kstm2626676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drawing>
          <wp:inline distT="0" distB="0" distL="0" distR="0">
            <wp:extent cx="151447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581025"/>
                    </a:xfrm>
                    <a:prstGeom prst="rect">
                      <a:avLst/>
                    </a:prstGeom>
                  </pic:spPr>
                </pic:pic>
              </a:graphicData>
            </a:graphic>
          </wp:inline>
        </w:drawing>
      </w:r>
      <w:r>
        <w:rPr/>
        <w:t> </w:t>
      </w:r>
    </w:p>
    <w:p>
      <w:pPr>
        <w:pStyle w:val="TextBody"/>
        <w:bidi w:val="0"/>
        <w:spacing w:before="0" w:after="0"/>
        <w:ind w:left="41"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 Holdings Inc.</w:t>
      </w:r>
    </w:p>
    <w:p>
      <w:pPr>
        <w:pStyle w:val="TextBody"/>
        <w:bidi w:val="0"/>
        <w:spacing w:before="0" w:after="0"/>
        <w:ind w:left="72" w:right="33" w:hanging="0"/>
        <w:jc w:val="center"/>
        <w:rPr>
          <w:rFonts w:eastAsia="Times New Roman;Times;Serif"/>
          <w:b/>
          <w:i w:val="false"/>
          <w:caps w:val="false"/>
          <w:smallCaps w:val="false"/>
          <w:sz w:val="28"/>
        </w:rPr>
      </w:pPr>
      <w:r>
        <w:rPr>
          <w:rFonts w:eastAsia="Times New Roman;Times;Serif"/>
          <w:b/>
          <w:i w:val="false"/>
          <w:caps w:val="false"/>
          <w:smallCaps w:val="false"/>
          <w:sz w:val="28"/>
        </w:rPr>
        <w:t>貝殼控股有限公司</w:t>
      </w:r>
    </w:p>
    <w:p>
      <w:pPr>
        <w:pStyle w:val="TextBody"/>
        <w:bidi w:val="0"/>
        <w:spacing w:before="0" w:after="0"/>
        <w:ind w:left="39" w:right="72"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2423)</w:t>
      </w:r>
    </w:p>
    <w:p>
      <w:pPr>
        <w:pStyle w:val="TextBody"/>
        <w:bidi w:val="0"/>
        <w:spacing w:before="0" w:after="0"/>
        <w:ind w:left="6" w:right="0" w:hanging="0"/>
        <w:jc w:val="center"/>
        <w:rPr>
          <w:caps w:val="false"/>
          <w:smallCaps w:val="false"/>
        </w:rPr>
      </w:pPr>
      <w:r>
        <w:rPr>
          <w:caps w:val="false"/>
          <w:smallCaps w:val="false"/>
        </w:rPr>
        <w:t> </w:t>
      </w:r>
    </w:p>
    <w:p>
      <w:pPr>
        <w:pStyle w:val="TextBody"/>
        <w:bidi w:val="0"/>
        <w:spacing w:before="0" w:after="0"/>
        <w:ind w:left="40"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RESTRICTED SHARE UNITS</w:t>
      </w:r>
    </w:p>
    <w:p>
      <w:pPr>
        <w:pStyle w:val="TextBody"/>
        <w:bidi w:val="0"/>
        <w:spacing w:before="0" w:after="0"/>
        <w:ind w:left="142" w:right="129"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approved to grant an aggregate of 471,120 RSUs (representing equal number of underlying Class A ordinary shares) to 15 employees on October 1, 2026 (the “</w:t>
      </w:r>
      <w:r>
        <w:rPr>
          <w:rFonts w:ascii="Times New Roman;Times;Serif" w:hAnsi="Times New Roman;Times;Serif"/>
          <w:b/>
          <w:i w:val="false"/>
          <w:caps w:val="false"/>
          <w:smallCaps w:val="false"/>
          <w:sz w:val="20"/>
        </w:rPr>
        <w:t>Employee Grants</w:t>
      </w:r>
      <w:r>
        <w:rPr>
          <w:rFonts w:ascii="Times New Roman;Times;Serif" w:hAnsi="Times New Roman;Times;Serif"/>
          <w:b w:val="false"/>
          <w:i w:val="false"/>
          <w:caps w:val="false"/>
          <w:smallCaps w:val="false"/>
          <w:sz w:val="20"/>
        </w:rPr>
        <w:t>”) pursuant to the 2020 Share Incentive Plan, subject to the acceptance by the Grantees. Such Employee Grants would not be subject to the Shareholders’ approval. None of the Grantees was a Director, chief executive or substantial shareholder of the Company, or an associate of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Grants are subject to the terms and conditions of the 2020 Share Incentive Plan, and the award agreements to be entered into between the Company and each of the Grantees. The principal terms of the 2020 Share Incentive Plan were set out in the section headed “Statutory and General Information – The Share Incentive Plans – 2020 Share Incentive Plan” in Appendix IV to the listing document of the Company dated May 5, 2022 and the 2025 annual report of the Company dated April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Employee Grants are set out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12"/>
        <w:gridCol w:w="60"/>
        <w:gridCol w:w="1633"/>
      </w:tblGrid>
      <w:tr>
        <w:trPr/>
        <w:tc>
          <w:tcPr>
            <w:tcW w:w="85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grant</w:t>
            </w:r>
          </w:p>
        </w:tc>
        <w:tc>
          <w:tcPr>
            <w:tcW w:w="60"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r>
      <w:tr>
        <w:trPr/>
        <w:tc>
          <w:tcPr>
            <w:tcW w:w="85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ind w:left="0" w:right="0" w:hanging="180"/>
              <w:jc w:val="left"/>
              <w:rPr/>
            </w:pPr>
            <w:r>
              <w:rPr/>
              <w:t> </w:t>
            </w:r>
          </w:p>
        </w:tc>
      </w:tr>
      <w:tr>
        <w:trPr/>
        <w:tc>
          <w:tcPr>
            <w:tcW w:w="85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RSUs to be granted</w:t>
            </w:r>
          </w:p>
        </w:tc>
        <w:tc>
          <w:tcPr>
            <w:tcW w:w="60"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471,120</w:t>
            </w:r>
          </w:p>
        </w:tc>
      </w:tr>
      <w:tr>
        <w:trPr/>
        <w:tc>
          <w:tcPr>
            <w:tcW w:w="85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ind w:left="0" w:right="0" w:hanging="180"/>
              <w:jc w:val="left"/>
              <w:rPr/>
            </w:pPr>
            <w:r>
              <w:rPr/>
              <w:t> </w:t>
            </w:r>
          </w:p>
        </w:tc>
      </w:tr>
      <w:tr>
        <w:trPr/>
        <w:tc>
          <w:tcPr>
            <w:tcW w:w="85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 of RSUs to be granted</w:t>
            </w:r>
          </w:p>
        </w:tc>
        <w:tc>
          <w:tcPr>
            <w:tcW w:w="60"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r>
      <w:tr>
        <w:trPr/>
        <w:tc>
          <w:tcPr>
            <w:tcW w:w="85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ind w:left="0" w:right="0" w:hanging="180"/>
              <w:jc w:val="left"/>
              <w:rPr/>
            </w:pPr>
            <w:r>
              <w:rPr/>
              <w:t> </w:t>
            </w:r>
          </w:p>
        </w:tc>
      </w:tr>
      <w:tr>
        <w:trPr/>
        <w:tc>
          <w:tcPr>
            <w:tcW w:w="85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price of the Class A ordinary shares on the business day immediately preceding the date of grant</w:t>
            </w:r>
          </w:p>
        </w:tc>
        <w:tc>
          <w:tcPr>
            <w:tcW w:w="60"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HK$44.60 per Share</w:t>
            </w:r>
          </w:p>
        </w:tc>
      </w:tr>
    </w:tbl>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14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4"/>
        <w:gridCol w:w="60"/>
        <w:gridCol w:w="8641"/>
      </w:tblGrid>
      <w:tr>
        <w:trPr/>
        <w:tc>
          <w:tcPr>
            <w:tcW w:w="150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condition and periods</w:t>
            </w:r>
          </w:p>
        </w:tc>
        <w:tc>
          <w:tcPr>
            <w:tcW w:w="60" w:type="dxa"/>
            <w:tcBorders/>
            <w:vAlign w:val="center"/>
          </w:tcPr>
          <w:p>
            <w:pPr>
              <w:pStyle w:val="TableContents"/>
              <w:bidi w:val="0"/>
              <w:spacing w:before="0" w:after="283"/>
              <w:jc w:val="left"/>
              <w:rPr/>
            </w:pPr>
            <w:r>
              <w:rPr/>
              <w:t> </w:t>
            </w:r>
          </w:p>
        </w:tc>
        <w:tc>
          <w:tcPr>
            <w:tcW w:w="86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award agreements to be entered into between the Company and each of the Grantees and the 2020 Share Incentive Plan, the RSUs to be granted under the Employee Grants shall vest in accordance with the following schedules: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75" w:type="dxa"/>
            <w:tcBorders/>
            <w:vAlign w:val="center"/>
          </w:tcPr>
          <w:p>
            <w:pPr>
              <w:pStyle w:val="TableContents"/>
              <w:bidi w:val="0"/>
              <w:spacing w:before="0" w:after="283"/>
              <w:jc w:val="both"/>
              <w:rPr/>
            </w:pPr>
            <w:r>
              <w:rPr/>
              <w:t>47,700 RSUs to be granted shall fully vest within 48 months, with 50%, 25% and 25% of the RSUs to be granted vesting on the second, third and fourth anniversary of the date of grant,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(ii)</w:t>
            </w:r>
          </w:p>
        </w:tc>
        <w:tc>
          <w:tcPr>
            <w:tcW w:w="9911" w:type="dxa"/>
            <w:tcBorders/>
            <w:vAlign w:val="center"/>
          </w:tcPr>
          <w:p>
            <w:pPr>
              <w:pStyle w:val="TableContents"/>
              <w:bidi w:val="0"/>
              <w:spacing w:before="0" w:after="283"/>
              <w:jc w:val="both"/>
              <w:rPr/>
            </w:pPr>
            <w:r>
              <w:rPr/>
              <w:t>46,320 RSUs to be granted shall fully vest within 42 months, with 50%, 25% and 25% of the RSUs to be granted vesting in three specified periods after the date of grant,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(iii)</w:t>
            </w:r>
          </w:p>
        </w:tc>
        <w:tc>
          <w:tcPr>
            <w:tcW w:w="9855" w:type="dxa"/>
            <w:tcBorders/>
            <w:vAlign w:val="center"/>
          </w:tcPr>
          <w:p>
            <w:pPr>
              <w:pStyle w:val="TableContents"/>
              <w:bidi w:val="0"/>
              <w:spacing w:before="0" w:after="283"/>
              <w:jc w:val="both"/>
              <w:rPr/>
            </w:pPr>
            <w:r>
              <w:rPr/>
              <w:t>165,000 RSUs to be granted shall fully vest within 36 months, with 33%, 33% and 34% of the RSUs to be granted vesting on the first, second and third anniversary of the date of grant,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(iv)</w:t>
            </w:r>
          </w:p>
        </w:tc>
        <w:tc>
          <w:tcPr>
            <w:tcW w:w="9852" w:type="dxa"/>
            <w:tcBorders/>
            <w:vAlign w:val="center"/>
          </w:tcPr>
          <w:p>
            <w:pPr>
              <w:pStyle w:val="TableContents"/>
              <w:bidi w:val="0"/>
              <w:spacing w:before="0" w:after="283"/>
              <w:jc w:val="both"/>
              <w:rPr/>
            </w:pPr>
            <w:r>
              <w:rPr/>
              <w:t>114,000 RSUs to be granted shall fully vest within 33 months, with 33%, 33% and 34% of the RSUs to be granted vesting in three specified periods after the date of grant,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w:t>
            </w:r>
          </w:p>
        </w:tc>
        <w:tc>
          <w:tcPr>
            <w:tcW w:w="9911" w:type="dxa"/>
            <w:tcBorders/>
            <w:vAlign w:val="center"/>
          </w:tcPr>
          <w:p>
            <w:pPr>
              <w:pStyle w:val="TableContents"/>
              <w:bidi w:val="0"/>
              <w:spacing w:before="0" w:after="283"/>
              <w:jc w:val="both"/>
              <w:rPr/>
            </w:pPr>
            <w:r>
              <w:rPr/>
              <w:t>26,100 RSUs to be granted shall fully vest within 45 months, with 50%, 25% and 25% of the RSUs to be granted vesting in three specified periods after the date of grant,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(vi)</w:t>
            </w:r>
          </w:p>
        </w:tc>
        <w:tc>
          <w:tcPr>
            <w:tcW w:w="9852" w:type="dxa"/>
            <w:tcBorders/>
            <w:vAlign w:val="center"/>
          </w:tcPr>
          <w:p>
            <w:pPr>
              <w:pStyle w:val="TableContents"/>
              <w:bidi w:val="0"/>
              <w:spacing w:before="0" w:after="283"/>
              <w:jc w:val="both"/>
              <w:rPr/>
            </w:pPr>
            <w:r>
              <w:rPr/>
              <w:t>18,000 RSUs to be granted shall fully vest within 30 months, with 33%, 33% and 34% of the RSUs to be granted vesting in three specified periods after the date of grant, respectively;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(vii)</w:t>
            </w:r>
          </w:p>
        </w:tc>
        <w:tc>
          <w:tcPr>
            <w:tcW w:w="9797" w:type="dxa"/>
            <w:tcBorders/>
            <w:vAlign w:val="center"/>
          </w:tcPr>
          <w:p>
            <w:pPr>
              <w:pStyle w:val="TableContents"/>
              <w:bidi w:val="0"/>
              <w:spacing w:before="0" w:after="283"/>
              <w:jc w:val="both"/>
              <w:rPr/>
            </w:pPr>
            <w:r>
              <w:rPr/>
              <w:t>54,000 RSUs to be granted shall fully vest within 24 months, with 50%, 25% and 25% of the RSUs to be granted vesting on the date of grant and in two specified periods after the date of grant,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sz w:val="20"/>
              </w:rPr>
            </w:pPr>
            <w:r>
              <w:rPr>
                <w:sz w:val="20"/>
              </w:rPr>
              <w:t>The vesting periods for part of the RSUs to be granted to the Grantees are shorter than 12 months. The Compensation Committee is of the view that such shorter vesting periods are appropriate because: (i) it can bring about immediate incentivization effect to those Grantees and is appropriate and in line with the purpose of the 2020 Share Incentive Plan to link the personal interests of those Grantees to those of Shareholders and (ii) the Employee Grants have a mixed vesting schedule where the 471,120 RSUs granted under the Employee Grants shall vest by batches in a total of 48 months from the date of grant.</w:t>
            </w:r>
          </w:p>
        </w:tc>
      </w:tr>
    </w:tbl>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14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9"/>
        <w:gridCol w:w="60"/>
        <w:gridCol w:w="8926"/>
      </w:tblGrid>
      <w:tr>
        <w:trPr/>
        <w:tc>
          <w:tcPr>
            <w:tcW w:w="121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targets</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performance target attached to the vesting of RSUs under the Employee Grants.</w:t>
            </w:r>
          </w:p>
        </w:tc>
      </w:tr>
      <w:tr>
        <w:trPr/>
        <w:tc>
          <w:tcPr>
            <w:tcW w:w="121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1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mechanisms</w:t>
            </w:r>
          </w:p>
        </w:tc>
        <w:tc>
          <w:tcPr>
            <w:tcW w:w="60"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Employee Grants and the 2020 Share Incentive Plan, if Grantee’s termination of service is by reason of cause set out in the 2020 Share Incentive Plan, the Grantee’s right to any vested and unvested RSUs shall terminate concurrently with his/her termination of services. Under such circumstances, the balance of the RSUs that have not vested shall lapse and be forfeited. For the vested RSUs, the Board or the Compensation Committee may in its discretion determine (acting fairly and reasonably) that the Grantee should repay to the Company (whether by re-transfer of Shares (or withholding the transfer of Shares where such transfer has not occurred), payment of cash proceeds or deductions from or set offs against any amounts owed to the Grantee by any member of the Group) an amount equal to the benefit, calculated on an after-tax basis, received or to be received by the Grantee from such vesting, provided that the Board or the Compensation Committee may, at its discretion, determine that a lesser amount should be repaid.</w:t>
            </w:r>
          </w:p>
        </w:tc>
      </w:tr>
    </w:tbl>
    <w:p>
      <w:pPr>
        <w:pStyle w:val="TextBody"/>
        <w:bidi w:val="0"/>
        <w:spacing w:before="0" w:after="0"/>
        <w:ind w:left="142" w:right="131"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vesting of Awards granted under the 2020 Share Incentive Plan, RSUs to be granted under the Employee Grants will be satisfied through utilizing the Class A ordinary shares registered in the name of the depositary bank. The Hong Kong Stock Exchange had granted approval for the listing of, and permission to deal in the Class A ordinary shares registered in the name of the depositary bank. The Employee Grants will not result in the options and awards granted and to be granted to each individual Grantee in the 12-month period up to and including the date of such grant in aggregate to exceed 1% of the Shares in issue.</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AND BENEFITS OF THE EMPLOYEE GRANTS</w:t>
      </w:r>
    </w:p>
    <w:p>
      <w:pPr>
        <w:pStyle w:val="TextBody"/>
        <w:bidi w:val="0"/>
        <w:spacing w:before="0" w:after="0"/>
        <w:ind w:left="142" w:right="133"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Grants are to align the interests of the Grantees with those of the Group through ownership of Shares, dividends and other distributions paid on Shares and/or the increase in value of the Shares, and to encourage and retain the Grantees to make contributions to the long-term growth and profits of the Group.</w:t>
      </w:r>
    </w:p>
    <w:p>
      <w:pPr>
        <w:pStyle w:val="TextBody"/>
        <w:bidi w:val="0"/>
        <w:spacing w:before="0" w:after="0"/>
        <w:ind w:left="142" w:right="126"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Grants recognize all Grantees’ past contributions to the Group’s business performance and aims to secure their long-term support and commitment to the Group which is vital to the future development of the Group. The Company believes that the Employee Grants serve as important incentives to motivate the Grantees to bring a higher return to the Company, which aligns the interests of the Grantees with the best interests of the Company and the Shareholders as a whole.</w:t>
      </w:r>
    </w:p>
    <w:p>
      <w:pPr>
        <w:pStyle w:val="TextBody"/>
        <w:bidi w:val="0"/>
        <w:spacing w:before="0" w:after="0"/>
        <w:ind w:left="142" w:right="134"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AVAILABLE FOR FUTURE GRANT UNDER THE 2020 SHARE INCENTIVE PLAN</w:t>
      </w:r>
    </w:p>
    <w:p>
      <w:pPr>
        <w:pStyle w:val="TextBody"/>
        <w:bidi w:val="0"/>
        <w:spacing w:before="0" w:after="0"/>
        <w:ind w:left="142" w:right="133"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2020 Share Incentive Plan, the maximum aggregate number of Class A ordinary shares which may be further issued pursuant to all Awards under the 2020 Share Incentive Plan as at the date of the Listing shall be 253,246,913. As at the date of this announcement and following the Employee Grants, 120,391,976 Awards (representing equal number of underlying Class A ordinary shares), subject to the Awards that may lapse or be forfeited before the date of grant, may be further granted under the 2020 Share Incentive Plan.</w:t>
      </w:r>
    </w:p>
    <w:p>
      <w:pPr>
        <w:pStyle w:val="TextBody"/>
        <w:bidi w:val="0"/>
        <w:spacing w:before="0" w:after="0"/>
        <w:ind w:left="142" w:right="134" w:hanging="0"/>
        <w:jc w:val="both"/>
        <w:rPr>
          <w:caps w:val="false"/>
          <w:smallCaps w:val="false"/>
        </w:rPr>
      </w:pPr>
      <w:r>
        <w:rPr>
          <w:caps w:val="false"/>
          <w:smallCaps w:val="false"/>
        </w:rPr>
        <w:t> </w:t>
      </w:r>
    </w:p>
    <w:p>
      <w:pPr>
        <w:pStyle w:val="TextBody"/>
        <w:bidi w:val="0"/>
        <w:spacing w:before="0" w:after="0"/>
        <w:ind w:left="142" w:right="134"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142" w:right="134"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2020 Share Incentive Plan took effective from May 11, 2022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will expire on the tenth anniversary of the Effective Date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unless earlier terminated. Upon expiry of the 2020 Share Incentive Plan, any Awards that have been granted and are outstanding as of the Expiration Date shall remain in force according to the terms of the 2020 Share Incentive Plan and the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announcement, the following expressions shall have the following meanings unless the context requires otherwise: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6"/>
        <w:gridCol w:w="60"/>
        <w:gridCol w:w="8629"/>
      </w:tblGrid>
      <w:tr>
        <w:trPr/>
        <w:tc>
          <w:tcPr>
            <w:tcW w:w="15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2020 Share Incentive Plan”</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2020 Global Share Incentive Plan adopted by the Shareholders in July 2020 and amended in April 2022, which permits the grant of awards in the forms of options, restricted shares, and RSUs or other types of awards approved by the Board or the Compensation Committee</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ADSs”</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 each of which represents three Class A ordinary shares</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Award(s)”</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in the form of option, restricted shares, RSUs or other types of awards approved by the Board or the Compensation Committee pursuant to the 2020 Share Incentive Plan to Participant(s)</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A ordinary shares”</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of the share capital of the Company with a par value of US$0.00002 each, conferring a holder of a Class A ordinary share one vote per share on all matters subject to the vote at general meetings of the Company</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B ordinary shares”</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of the share capital of the Company with a par value of US$0.00002 each, conferring weighted voting rights in the Company such that a holder of a Class B ordinary share is entitled to ten votes per share on all matters subject to the vote at general meetings of the Company, subject to the requirements under Rule 8A.24 of the Listing Rules that the reserved matters shall be voted on a one vote per share basis</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 Holdings Inc., an exempted company with limited liability incorporated in the Cayman Islands on July 6, 2018</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Compensation Committee”</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Board</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Director(s)”</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pPr>
            <w:r>
              <w:rPr/>
              <w:t> </w:t>
            </w:r>
          </w:p>
        </w:tc>
      </w:tr>
      <w:tr>
        <w:trPr/>
        <w:tc>
          <w:tcPr>
            <w:tcW w:w="151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Grantee(s)”</w:t>
            </w:r>
          </w:p>
        </w:tc>
        <w:tc>
          <w:tcPr>
            <w:tcW w:w="60" w:type="dxa"/>
            <w:tcBorders/>
            <w:vAlign w:val="center"/>
          </w:tcPr>
          <w:p>
            <w:pPr>
              <w:pStyle w:val="TableContents"/>
              <w:bidi w:val="0"/>
              <w:spacing w:before="0" w:after="283"/>
              <w:jc w:val="left"/>
              <w:rPr/>
            </w:pPr>
            <w:r>
              <w:rPr/>
              <w:t> </w:t>
            </w:r>
          </w:p>
        </w:tc>
        <w:tc>
          <w:tcPr>
            <w:tcW w:w="86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eligible participant(s) of the Group who was/were granted RSUs under the Employee Grants</w:t>
            </w:r>
          </w:p>
        </w:tc>
      </w:tr>
    </w:tbl>
    <w:p>
      <w:pPr>
        <w:pStyle w:val="TextBody"/>
        <w:bidi w:val="0"/>
        <w:spacing w:before="0" w:after="0"/>
        <w:ind w:left="3543" w:right="136" w:hanging="3402"/>
        <w:jc w:val="left"/>
        <w:rPr>
          <w:caps w:val="false"/>
          <w:smallCaps w:val="false"/>
        </w:rPr>
      </w:pPr>
      <w:r>
        <w:rPr>
          <w:caps w:val="false"/>
          <w:smallCaps w:val="false"/>
        </w:rPr>
        <w:t> </w:t>
      </w:r>
    </w:p>
    <w:p>
      <w:pPr>
        <w:pStyle w:val="TextBody"/>
        <w:bidi w:val="0"/>
        <w:spacing w:before="0" w:after="0"/>
        <w:ind w:left="3543" w:right="136" w:hanging="3402"/>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3543" w:right="136" w:hanging="34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1"/>
        <w:gridCol w:w="60"/>
        <w:gridCol w:w="8074"/>
      </w:tblGrid>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Group”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and consolidated affiliated entities from time to time</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HK$”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dollars, the lawful currency of Hong Kong</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Hong Kong Stock Exchange”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Exchange of Hong Kong Limited</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of the Class A ordinary shares on the Main Board of the Hong Kong Stock Exchange</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Listing Rules”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Governing the Listing of Securities on The Stock Exchange of Hong Kong Limited</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as a director, consultant or employee of any member of the Group, has been granted an Award pursuant to the 2020 Share Incentive Plan</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RSU(s)”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unit(s)</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and Class B ordinary shares in the share capital of the Company, as the context so requires</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and, where the context requires, ADSs</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the lawful currency of the United States of America</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cent</w:t>
            </w:r>
          </w:p>
        </w:tc>
      </w:tr>
    </w:tbl>
    <w:p>
      <w:pPr>
        <w:pStyle w:val="TextBody"/>
        <w:bidi w:val="0"/>
        <w:spacing w:before="0" w:after="0"/>
        <w:ind w:left="142" w:right="0" w:hanging="0"/>
        <w:jc w:val="left"/>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75"/>
        <w:gridCol w:w="3170"/>
      </w:tblGrid>
      <w:tr>
        <w:trPr/>
        <w:tc>
          <w:tcPr>
            <w:tcW w:w="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 Holdings Inc.</w:t>
            </w:r>
          </w:p>
        </w:tc>
      </w:tr>
      <w:tr>
        <w:trPr/>
        <w:tc>
          <w:tcPr>
            <w:tcW w:w="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Yongdong Peng</w:t>
            </w:r>
          </w:p>
        </w:tc>
      </w:tr>
      <w:tr>
        <w:trPr/>
        <w:tc>
          <w:tcPr>
            <w:tcW w:w="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Mr. Yongdong Peng, Mr. Yigang Shan, Mr. Wangang Xu and Mr. Tao Xu as the executive Directors, Mr. Jeffrey Zhaohui Li as the non-executive Director, and Ms. Xiaohong Chen, Mr. Hansong Zhu and Mr. Jun Wu as the independent non-executive Directors.</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2016</Words>
  <Characters>9988</Characters>
  <CharactersWithSpaces>12064</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