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186690</wp:posOffset>
            </wp:positionH>
            <wp:positionV relativeFrom="page">
              <wp:posOffset>266065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289560</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124460</wp:posOffset>
            </wp:positionV>
            <wp:extent cx="17894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47"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138430</wp:posOffset>
            </wp:positionV>
            <wp:extent cx="17894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9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PURSUANT TO RULE 13a-16 OR 15d-16 UNDER</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4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For the month of May 2026</w:t>
      </w:r>
    </w:p>
    <w:p>
      <w:pPr>
        <w:spacing w:after="0" w:line="16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Commission File Number: 001-39436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134620</wp:posOffset>
            </wp:positionV>
            <wp:extent cx="178943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6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KE Holdings Inc.</w:t>
      </w:r>
    </w:p>
    <w:p>
      <w:pPr>
        <w:spacing w:after="0" w:line="33"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2"/>
          <w:szCs w:val="12"/>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124460</wp:posOffset>
            </wp:positionV>
            <wp:extent cx="178943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6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Oriental Electronic Technology Building,</w:t>
      </w:r>
    </w:p>
    <w:p>
      <w:pPr>
        <w:spacing w:after="0" w:line="2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 2 Chuangye Road, Haidian District,</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Beijing 100086</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People’s Republic of China</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2683510</wp:posOffset>
            </wp:positionH>
            <wp:positionV relativeFrom="paragraph">
              <wp:posOffset>149225</wp:posOffset>
            </wp:positionV>
            <wp:extent cx="18008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860" cy="571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Form 20-F or Form 40-F.</w:t>
      </w:r>
    </w:p>
    <w:p>
      <w:pPr>
        <w:spacing w:after="0" w:line="133" w:lineRule="exact"/>
        <w:rPr>
          <w:sz w:val="24"/>
          <w:szCs w:val="24"/>
          <w:color w:val="auto"/>
        </w:rPr>
      </w:pPr>
    </w:p>
    <w:p>
      <w:pPr>
        <w:ind w:left="4880"/>
        <w:spacing w:after="0" w:line="138" w:lineRule="exact"/>
        <w:tabs>
          <w:tab w:leader="none" w:pos="572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167640</wp:posOffset>
            </wp:positionV>
            <wp:extent cx="7174865"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71748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60" w:type="dxa"/>
            <w:vAlign w:val="bottom"/>
            <w:gridSpan w:val="2"/>
          </w:tcPr>
          <w:p>
            <w:pPr>
              <w:ind w:left="112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98"/>
        </w:trPr>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20" w:type="dxa"/>
            <w:vAlign w:val="bottom"/>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1"/>
        </w:trPr>
        <w:tc>
          <w:tcPr>
            <w:tcW w:w="560" w:type="dxa"/>
            <w:vAlign w:val="bottom"/>
          </w:tcPr>
          <w:p>
            <w:pPr>
              <w:spacing w:after="0"/>
              <w:rPr>
                <w:sz w:val="10"/>
                <w:szCs w:val="10"/>
                <w:color w:val="auto"/>
              </w:rPr>
            </w:pPr>
          </w:p>
        </w:tc>
        <w:tc>
          <w:tcPr>
            <w:tcW w:w="220" w:type="dxa"/>
            <w:vAlign w:val="bottom"/>
            <w:tcBorders>
              <w:bottom w:val="single" w:sz="8" w:color="0000EE"/>
            </w:tcBorders>
          </w:tcPr>
          <w:p>
            <w:pPr>
              <w:jc w:val="center"/>
              <w:spacing w:after="0" w:line="121"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60" w:type="dxa"/>
            <w:vAlign w:val="bottom"/>
            <w:tcBorders>
              <w:bottom w:val="single" w:sz="8" w:color="0000EE"/>
            </w:tcBorders>
          </w:tcPr>
          <w:p>
            <w:pPr>
              <w:spacing w:after="0" w:line="121" w:lineRule="exact"/>
              <w:rPr>
                <w:sz w:val="20"/>
                <w:szCs w:val="20"/>
                <w:color w:val="auto"/>
              </w:rPr>
            </w:pPr>
            <w:r>
              <w:rPr>
                <w:rFonts w:ascii="Times New Roman" w:cs="Times New Roman" w:eastAsia="Times New Roman" w:hAnsi="Times New Roman"/>
                <w:sz w:val="12"/>
                <w:szCs w:val="12"/>
                <w:color w:val="0000EE"/>
              </w:rPr>
              <w:t>Next Day Disclosure Return Dated May 11, 2026</w:t>
            </w:r>
          </w:p>
        </w:tc>
        <w:tc>
          <w:tcPr>
            <w:tcW w:w="7260" w:type="dxa"/>
            <w:vAlign w:val="bottom"/>
            <w:gridSpan w:val="2"/>
          </w:tcPr>
          <w:p>
            <w:pPr>
              <w:spacing w:after="0"/>
              <w:rPr>
                <w:sz w:val="10"/>
                <w:szCs w:val="10"/>
                <w:color w:val="auto"/>
              </w:rPr>
            </w:pPr>
          </w:p>
        </w:tc>
      </w:tr>
      <w:tr>
        <w:trPr>
          <w:trHeight w:val="129"/>
        </w:trPr>
        <w:tc>
          <w:tcPr>
            <w:tcW w:w="560" w:type="dxa"/>
            <w:vAlign w:val="bottom"/>
          </w:tcPr>
          <w:p>
            <w:pPr>
              <w:spacing w:after="0"/>
              <w:rPr>
                <w:sz w:val="11"/>
                <w:szCs w:val="11"/>
                <w:color w:val="auto"/>
              </w:rPr>
            </w:pPr>
          </w:p>
        </w:tc>
        <w:tc>
          <w:tcPr>
            <w:tcW w:w="2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72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0000EE"/>
              </w:rPr>
              <w:t>Next Day Disclosure Return Dated May 12, 2026</w:t>
            </w: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9"/>
        </w:trPr>
        <w:tc>
          <w:tcPr>
            <w:tcW w:w="560" w:type="dxa"/>
            <w:vAlign w:val="bottom"/>
          </w:tcPr>
          <w:p>
            <w:pPr>
              <w:spacing w:after="0"/>
              <w:rPr>
                <w:sz w:val="11"/>
                <w:szCs w:val="11"/>
                <w:color w:val="auto"/>
              </w:rPr>
            </w:pPr>
          </w:p>
        </w:tc>
        <w:tc>
          <w:tcPr>
            <w:tcW w:w="2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3</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72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0000EE"/>
              </w:rPr>
              <w:t>Next Day Disclosure Return Dated May 13, 2026</w:t>
            </w: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9"/>
        </w:trPr>
        <w:tc>
          <w:tcPr>
            <w:tcW w:w="560" w:type="dxa"/>
            <w:vAlign w:val="bottom"/>
          </w:tcPr>
          <w:p>
            <w:pPr>
              <w:spacing w:after="0"/>
              <w:rPr>
                <w:sz w:val="11"/>
                <w:szCs w:val="11"/>
                <w:color w:val="auto"/>
              </w:rPr>
            </w:pPr>
          </w:p>
        </w:tc>
        <w:tc>
          <w:tcPr>
            <w:tcW w:w="2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4</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72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0000EE"/>
              </w:rPr>
              <w:t>Next Day Disclosure Return Dated May 14, 2026</w:t>
            </w: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9"/>
        </w:trPr>
        <w:tc>
          <w:tcPr>
            <w:tcW w:w="560" w:type="dxa"/>
            <w:vAlign w:val="bottom"/>
          </w:tcPr>
          <w:p>
            <w:pPr>
              <w:spacing w:after="0"/>
              <w:rPr>
                <w:sz w:val="11"/>
                <w:szCs w:val="11"/>
                <w:color w:val="auto"/>
              </w:rPr>
            </w:pPr>
          </w:p>
        </w:tc>
        <w:tc>
          <w:tcPr>
            <w:tcW w:w="2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5</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72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0000EE"/>
              </w:rPr>
              <w:t>Announcement—Supplemental Announcement in Relation to the Board Meeting</w:t>
            </w:r>
          </w:p>
        </w:tc>
      </w:tr>
      <w:tr>
        <w:trPr>
          <w:trHeight w:val="454"/>
        </w:trPr>
        <w:tc>
          <w:tcPr>
            <w:tcW w:w="56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top w:val="single" w:sz="8" w:color="0000EE"/>
              <w:bottom w:val="single" w:sz="8" w:color="auto"/>
            </w:tcBorders>
          </w:tcPr>
          <w:p>
            <w:pPr>
              <w:spacing w:after="0"/>
              <w:rPr>
                <w:sz w:val="24"/>
                <w:szCs w:val="24"/>
                <w:color w:val="auto"/>
              </w:rPr>
            </w:pPr>
          </w:p>
        </w:tc>
        <w:tc>
          <w:tcPr>
            <w:tcW w:w="1560" w:type="dxa"/>
            <w:vAlign w:val="bottom"/>
            <w:tcBorders>
              <w:top w:val="single" w:sz="8" w:color="0000EE"/>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4"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b w:val="1"/>
          <w:bCs w:val="1"/>
          <w:color w:val="auto"/>
        </w:rPr>
        <w:t>KE Holdings Inc.</w:t>
      </w:r>
    </w:p>
    <w:p>
      <w:pPr>
        <w:spacing w:after="0" w:line="162" w:lineRule="exact"/>
        <w:rPr>
          <w:sz w:val="20"/>
          <w:szCs w:val="20"/>
          <w:color w:val="auto"/>
        </w:rPr>
      </w:pPr>
    </w:p>
    <w:tbl>
      <w:tblPr>
        <w:tblLayout w:type="fixed"/>
        <w:tblInd w:w="5640" w:type="dxa"/>
        <w:tblCellMar>
          <w:top w:w="0" w:type="dxa"/>
          <w:left w:w="0" w:type="dxa"/>
          <w:bottom w:w="0" w:type="dxa"/>
          <w:right w:w="0" w:type="dxa"/>
        </w:tblCellMar>
      </w:tblPr>
      <w:tr>
        <w:trPr>
          <w:trHeight w:val="160"/>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XU Tao</w:t>
            </w:r>
          </w:p>
        </w:tc>
      </w:tr>
      <w:tr>
        <w:trPr>
          <w:trHeight w:val="126"/>
        </w:trPr>
        <w:tc>
          <w:tcPr>
            <w:tcW w:w="44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2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49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XU Tao</w:t>
            </w:r>
          </w:p>
        </w:tc>
      </w:tr>
      <w:tr>
        <w:trPr>
          <w:trHeight w:val="160"/>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298450</wp:posOffset>
            </wp:positionV>
            <wp:extent cx="71748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3" w:name="page4"/>
    <w:bookmarkEnd w:id="3"/>
    <w:p>
      <w:pPr>
        <w:ind w:left="95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140335</wp:posOffset>
            </wp:positionV>
            <wp:extent cx="6897370" cy="5125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ind w:left="9520"/>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140335</wp:posOffset>
            </wp:positionV>
            <wp:extent cx="6897370" cy="5125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ind w:left="9520"/>
        <w:spacing w:after="0"/>
        <w:rPr>
          <w:sz w:val="20"/>
          <w:szCs w:val="20"/>
          <w:color w:val="auto"/>
        </w:rPr>
      </w:pPr>
      <w:r>
        <w:rPr>
          <w:rFonts w:ascii="Times New Roman" w:cs="Times New Roman" w:eastAsia="Times New Roman" w:hAnsi="Times New Roman"/>
          <w:sz w:val="12"/>
          <w:szCs w:val="1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140335</wp:posOffset>
            </wp:positionV>
            <wp:extent cx="6897370" cy="5125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ind w:left="9520"/>
        <w:spacing w:after="0"/>
        <w:rPr>
          <w:sz w:val="20"/>
          <w:szCs w:val="20"/>
          <w:color w:val="auto"/>
        </w:rPr>
      </w:pPr>
      <w:r>
        <w:rPr>
          <w:rFonts w:ascii="Times New Roman" w:cs="Times New Roman" w:eastAsia="Times New Roman" w:hAnsi="Times New Roman"/>
          <w:sz w:val="12"/>
          <w:szCs w:val="12"/>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140335</wp:posOffset>
            </wp:positionV>
            <wp:extent cx="6897370" cy="5125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ind w:left="10520"/>
        <w:spacing w:after="0"/>
        <w:rPr>
          <w:sz w:val="20"/>
          <w:szCs w:val="20"/>
          <w:color w:val="auto"/>
        </w:rPr>
      </w:pPr>
      <w:r>
        <w:rPr>
          <w:rFonts w:ascii="Times New Roman" w:cs="Times New Roman" w:eastAsia="Times New Roman" w:hAnsi="Times New Roman"/>
          <w:sz w:val="15"/>
          <w:szCs w:val="15"/>
          <w:b w:val="1"/>
          <w:bCs w:val="1"/>
          <w:color w:val="auto"/>
        </w:rPr>
        <w:t>Exhibit 99.5</w:t>
      </w:r>
    </w:p>
    <w:p>
      <w:pPr>
        <w:spacing w:after="0" w:line="17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2"/>
          <w:szCs w:val="12"/>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73025</wp:posOffset>
            </wp:positionV>
            <wp:extent cx="1075055" cy="407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750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KE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12700</wp:posOffset>
            </wp:positionV>
            <wp:extent cx="630555" cy="106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555" cy="106045"/>
                    </a:xfrm>
                    <a:prstGeom prst="rect">
                      <a:avLst/>
                    </a:prstGeom>
                    <a:noFill/>
                  </pic:spPr>
                </pic:pic>
              </a:graphicData>
            </a:graphic>
          </wp:anchor>
        </w:drawing>
      </w:r>
    </w:p>
    <w:p>
      <w:pPr>
        <w:spacing w:after="0" w:line="7" w:lineRule="exact"/>
        <w:rPr>
          <w:sz w:val="20"/>
          <w:szCs w:val="20"/>
          <w:color w:val="auto"/>
        </w:rPr>
      </w:pPr>
    </w:p>
    <w:p>
      <w:pPr>
        <w:jc w:val="center"/>
        <w:spacing w:after="0" w:line="144" w:lineRule="exact"/>
        <w:rPr>
          <w:sz w:val="20"/>
          <w:szCs w:val="20"/>
          <w:color w:val="auto"/>
        </w:rPr>
      </w:pPr>
      <w:r>
        <w:rPr>
          <w:rFonts w:ascii="PMingLiU" w:cs="PMingLiU" w:eastAsia="PMingLiU" w:hAnsi="PMingLiU"/>
          <w:sz w:val="12"/>
          <w:szCs w:val="12"/>
          <w:color w:val="auto"/>
        </w:rPr>
        <w:t>貝殼控股有限公司</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231F20"/>
        </w:rPr>
        <w:t>(A company controlled through weighted voting rights and incorporated in the Cayman Islands with limited liability)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(Stock Code: 2423)</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Supplemental Announcement in Relation to the Board Meeting</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231F20"/>
        </w:rPr>
        <w:t>We refer to the announcement of KE Holdings Inc. (the “</w:t>
      </w:r>
      <w:r>
        <w:rPr>
          <w:rFonts w:ascii="Times New Roman" w:cs="Times New Roman" w:eastAsia="Times New Roman" w:hAnsi="Times New Roman"/>
          <w:sz w:val="12"/>
          <w:szCs w:val="12"/>
          <w:b w:val="1"/>
          <w:bCs w:val="1"/>
          <w:color w:val="231F20"/>
        </w:rPr>
        <w:t>Company</w:t>
      </w:r>
      <w:r>
        <w:rPr>
          <w:rFonts w:ascii="Times New Roman" w:cs="Times New Roman" w:eastAsia="Times New Roman" w:hAnsi="Times New Roman"/>
          <w:sz w:val="12"/>
          <w:szCs w:val="12"/>
          <w:color w:val="231F20"/>
        </w:rPr>
        <w:t>”, together with its subsidiaries and consolidated affiliated entities, the “</w:t>
      </w:r>
      <w:r>
        <w:rPr>
          <w:rFonts w:ascii="Times New Roman" w:cs="Times New Roman" w:eastAsia="Times New Roman" w:hAnsi="Times New Roman"/>
          <w:sz w:val="12"/>
          <w:szCs w:val="12"/>
          <w:b w:val="1"/>
          <w:bCs w:val="1"/>
          <w:color w:val="231F20"/>
        </w:rPr>
        <w:t>Group</w:t>
      </w:r>
      <w:r>
        <w:rPr>
          <w:rFonts w:ascii="Times New Roman" w:cs="Times New Roman" w:eastAsia="Times New Roman" w:hAnsi="Times New Roman"/>
          <w:sz w:val="12"/>
          <w:szCs w:val="12"/>
          <w:color w:val="231F20"/>
        </w:rPr>
        <w:t>”) dated May 7, 2026 (the “</w:t>
      </w:r>
      <w:r>
        <w:rPr>
          <w:rFonts w:ascii="Times New Roman" w:cs="Times New Roman" w:eastAsia="Times New Roman" w:hAnsi="Times New Roman"/>
          <w:sz w:val="12"/>
          <w:szCs w:val="12"/>
          <w:b w:val="1"/>
          <w:bCs w:val="1"/>
          <w:color w:val="231F20"/>
        </w:rPr>
        <w:t>Announcement</w:t>
      </w:r>
      <w:r>
        <w:rPr>
          <w:rFonts w:ascii="Times New Roman" w:cs="Times New Roman" w:eastAsia="Times New Roman" w:hAnsi="Times New Roman"/>
          <w:sz w:val="12"/>
          <w:szCs w:val="12"/>
          <w:color w:val="231F20"/>
        </w:rPr>
        <w:t>”) in relation to the date of board meeting and earnings conference call in relation to the unaudited financial results of the Group for the three months ended March 31, 2026. Unless otherwise defined, capitalized terms used in this announcement shall have the same meanings as defined in the Announcement.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The Company hereby further announces that the earnings conference call, which will be held by the Company’s management on Tuesday, May 19, 2026, at 8:00 A.M. U.S. Eastern Time or 8:00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 xml:space="preserve">P.M. Beijing/Hong Kong Time on the same day as the board meeting, will be conducted </w:t>
      </w:r>
      <w:r>
        <w:rPr>
          <w:rFonts w:ascii="Times New Roman" w:cs="Times New Roman" w:eastAsia="Times New Roman" w:hAnsi="Times New Roman"/>
          <w:sz w:val="12"/>
          <w:szCs w:val="12"/>
          <w:u w:val="single" w:color="auto"/>
          <w:color w:val="231F20"/>
        </w:rPr>
        <w:t>in Chinese with English simultaneous interpretation</w:t>
      </w:r>
      <w:r>
        <w:rPr>
          <w:rFonts w:ascii="Times New Roman" w:cs="Times New Roman" w:eastAsia="Times New Roman" w:hAnsi="Times New Roman"/>
          <w:sz w:val="12"/>
          <w:szCs w:val="12"/>
          <w:color w:val="231F20"/>
        </w:rPr>
        <w:t>.</w:t>
      </w:r>
    </w:p>
    <w:p>
      <w:pPr>
        <w:spacing w:after="0" w:line="16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2"/>
          <w:szCs w:val="12"/>
          <w:color w:val="231F20"/>
        </w:rPr>
        <w:t>For participants who wish to join the call using dial-in numbers, please complete online registration using the link provided below at least 20 minutes prior to the scheduled call start time. Dial-in numbers, passcode and unique access PIN would be provided upon registering.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Participant Online Registration: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 xml:space="preserve">Chinese Line: </w:t>
      </w:r>
      <w:r>
        <w:rPr>
          <w:rFonts w:ascii="Times New Roman" w:cs="Times New Roman" w:eastAsia="Times New Roman" w:hAnsi="Times New Roman"/>
          <w:sz w:val="12"/>
          <w:szCs w:val="12"/>
          <w:u w:val="single" w:color="auto"/>
          <w:color w:val="231F20"/>
        </w:rPr>
        <w:t>https://s1.c-conf.com/diamondpass/10054239-fn5s21.html</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38"/>
        </w:trPr>
        <w:tc>
          <w:tcPr>
            <w:tcW w:w="7120" w:type="dxa"/>
            <w:vAlign w:val="bottom"/>
            <w:gridSpan w:val="3"/>
          </w:tcPr>
          <w:p>
            <w:pPr>
              <w:spacing w:after="0"/>
              <w:rPr>
                <w:sz w:val="20"/>
                <w:szCs w:val="20"/>
                <w:color w:val="auto"/>
              </w:rPr>
            </w:pPr>
            <w:r>
              <w:rPr>
                <w:rFonts w:ascii="Times New Roman" w:cs="Times New Roman" w:eastAsia="Times New Roman" w:hAnsi="Times New Roman"/>
                <w:sz w:val="12"/>
                <w:szCs w:val="12"/>
                <w:color w:val="231F20"/>
              </w:rPr>
              <w:t>English Simultaneous Interpretation Line (listen-only mode): https://s1.c-conf.com/diamondpass/10054238-3nd54a.html</w:t>
            </w:r>
          </w:p>
        </w:tc>
        <w:tc>
          <w:tcPr>
            <w:tcW w:w="2000" w:type="dxa"/>
            <w:vAlign w:val="bottom"/>
          </w:tcPr>
          <w:p>
            <w:pPr>
              <w:spacing w:after="0"/>
              <w:rPr>
                <w:sz w:val="12"/>
                <w:szCs w:val="12"/>
                <w:color w:val="auto"/>
              </w:rPr>
            </w:pPr>
          </w:p>
        </w:tc>
      </w:tr>
      <w:tr>
        <w:trPr>
          <w:trHeight w:val="20"/>
        </w:trPr>
        <w:tc>
          <w:tcPr>
            <w:tcW w:w="3060" w:type="dxa"/>
            <w:vAlign w:val="bottom"/>
          </w:tcPr>
          <w:p>
            <w:pPr>
              <w:spacing w:after="0" w:line="20" w:lineRule="exact"/>
              <w:rPr>
                <w:sz w:val="1"/>
                <w:szCs w:val="1"/>
                <w:color w:val="auto"/>
              </w:rPr>
            </w:pPr>
          </w:p>
        </w:tc>
        <w:tc>
          <w:tcPr>
            <w:tcW w:w="2920" w:type="dxa"/>
            <w:vAlign w:val="bottom"/>
            <w:shd w:val="clear" w:color="auto" w:fill="231F2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7120" w:type="dxa"/>
            <w:vAlign w:val="bottom"/>
            <w:gridSpan w:val="3"/>
          </w:tcPr>
          <w:p>
            <w:pPr>
              <w:spacing w:after="0"/>
              <w:rPr>
                <w:sz w:val="20"/>
                <w:szCs w:val="20"/>
                <w:color w:val="auto"/>
              </w:rPr>
            </w:pPr>
            <w:r>
              <w:rPr>
                <w:rFonts w:ascii="Times New Roman" w:cs="Times New Roman" w:eastAsia="Times New Roman" w:hAnsi="Times New Roman"/>
                <w:sz w:val="12"/>
                <w:szCs w:val="12"/>
                <w:color w:val="231F20"/>
              </w:rPr>
              <w:t>A replay of the conference call will be accessible through May 26, 2026, by dialing the following numbers:</w:t>
            </w:r>
          </w:p>
        </w:tc>
        <w:tc>
          <w:tcPr>
            <w:tcW w:w="2000" w:type="dxa"/>
            <w:vAlign w:val="bottom"/>
          </w:tcPr>
          <w:p>
            <w:pPr>
              <w:spacing w:after="0"/>
              <w:rPr>
                <w:sz w:val="24"/>
                <w:szCs w:val="24"/>
                <w:color w:val="auto"/>
              </w:rPr>
            </w:pPr>
          </w:p>
        </w:tc>
      </w:tr>
      <w:tr>
        <w:trPr>
          <w:trHeight w:val="286"/>
        </w:trPr>
        <w:tc>
          <w:tcPr>
            <w:tcW w:w="7120" w:type="dxa"/>
            <w:vAlign w:val="bottom"/>
            <w:gridSpan w:val="3"/>
          </w:tcPr>
          <w:p>
            <w:pPr>
              <w:spacing w:after="0"/>
              <w:rPr>
                <w:sz w:val="20"/>
                <w:szCs w:val="20"/>
                <w:color w:val="auto"/>
              </w:rPr>
            </w:pPr>
            <w:r>
              <w:rPr>
                <w:rFonts w:ascii="Times New Roman" w:cs="Times New Roman" w:eastAsia="Times New Roman" w:hAnsi="Times New Roman"/>
                <w:sz w:val="12"/>
                <w:szCs w:val="12"/>
                <w:color w:val="231F20"/>
              </w:rPr>
              <w:t>United States:</w:t>
            </w:r>
          </w:p>
        </w:tc>
        <w:tc>
          <w:tcPr>
            <w:tcW w:w="2000" w:type="dxa"/>
            <w:vAlign w:val="bottom"/>
          </w:tcPr>
          <w:p>
            <w:pPr>
              <w:ind w:left="1120"/>
              <w:spacing w:after="0"/>
              <w:rPr>
                <w:sz w:val="20"/>
                <w:szCs w:val="20"/>
                <w:color w:val="auto"/>
              </w:rPr>
            </w:pPr>
            <w:r>
              <w:rPr>
                <w:rFonts w:ascii="Times New Roman" w:cs="Times New Roman" w:eastAsia="Times New Roman" w:hAnsi="Times New Roman"/>
                <w:sz w:val="12"/>
                <w:szCs w:val="12"/>
                <w:color w:val="231F20"/>
              </w:rPr>
              <w:t>+1-855-883-1031</w:t>
            </w:r>
          </w:p>
        </w:tc>
      </w:tr>
      <w:tr>
        <w:trPr>
          <w:trHeight w:val="149"/>
        </w:trPr>
        <w:tc>
          <w:tcPr>
            <w:tcW w:w="7120" w:type="dxa"/>
            <w:vAlign w:val="bottom"/>
            <w:gridSpan w:val="3"/>
          </w:tcPr>
          <w:p>
            <w:pPr>
              <w:spacing w:after="0"/>
              <w:rPr>
                <w:sz w:val="20"/>
                <w:szCs w:val="20"/>
                <w:color w:val="auto"/>
              </w:rPr>
            </w:pPr>
            <w:r>
              <w:rPr>
                <w:rFonts w:ascii="Times New Roman" w:cs="Times New Roman" w:eastAsia="Times New Roman" w:hAnsi="Times New Roman"/>
                <w:sz w:val="12"/>
                <w:szCs w:val="12"/>
                <w:color w:val="231F20"/>
              </w:rPr>
              <w:t>Mainland, China:</w:t>
            </w:r>
          </w:p>
        </w:tc>
        <w:tc>
          <w:tcPr>
            <w:tcW w:w="2000" w:type="dxa"/>
            <w:vAlign w:val="bottom"/>
          </w:tcPr>
          <w:p>
            <w:pPr>
              <w:ind w:left="1120"/>
              <w:spacing w:after="0"/>
              <w:rPr>
                <w:sz w:val="20"/>
                <w:szCs w:val="20"/>
                <w:color w:val="auto"/>
              </w:rPr>
            </w:pPr>
            <w:r>
              <w:rPr>
                <w:rFonts w:ascii="Times New Roman" w:cs="Times New Roman" w:eastAsia="Times New Roman" w:hAnsi="Times New Roman"/>
                <w:sz w:val="12"/>
                <w:szCs w:val="12"/>
                <w:color w:val="231F20"/>
              </w:rPr>
              <w:t>400-1209-216</w:t>
            </w:r>
          </w:p>
        </w:tc>
      </w:tr>
      <w:tr>
        <w:trPr>
          <w:trHeight w:val="149"/>
        </w:trPr>
        <w:tc>
          <w:tcPr>
            <w:tcW w:w="7120" w:type="dxa"/>
            <w:vAlign w:val="bottom"/>
            <w:gridSpan w:val="3"/>
          </w:tcPr>
          <w:p>
            <w:pPr>
              <w:spacing w:after="0"/>
              <w:rPr>
                <w:sz w:val="20"/>
                <w:szCs w:val="20"/>
                <w:color w:val="auto"/>
              </w:rPr>
            </w:pPr>
            <w:r>
              <w:rPr>
                <w:rFonts w:ascii="Times New Roman" w:cs="Times New Roman" w:eastAsia="Times New Roman" w:hAnsi="Times New Roman"/>
                <w:sz w:val="12"/>
                <w:szCs w:val="12"/>
                <w:color w:val="231F20"/>
              </w:rPr>
              <w:t>Hong Kong, China:</w:t>
            </w:r>
          </w:p>
        </w:tc>
        <w:tc>
          <w:tcPr>
            <w:tcW w:w="2000" w:type="dxa"/>
            <w:vAlign w:val="bottom"/>
          </w:tcPr>
          <w:p>
            <w:pPr>
              <w:ind w:left="1120"/>
              <w:spacing w:after="0"/>
              <w:rPr>
                <w:sz w:val="20"/>
                <w:szCs w:val="20"/>
                <w:color w:val="auto"/>
              </w:rPr>
            </w:pPr>
            <w:r>
              <w:rPr>
                <w:rFonts w:ascii="Times New Roman" w:cs="Times New Roman" w:eastAsia="Times New Roman" w:hAnsi="Times New Roman"/>
                <w:sz w:val="12"/>
                <w:szCs w:val="12"/>
                <w:color w:val="231F20"/>
              </w:rPr>
              <w:t>800-930-639</w:t>
            </w:r>
          </w:p>
        </w:tc>
      </w:tr>
      <w:tr>
        <w:trPr>
          <w:trHeight w:val="149"/>
        </w:trPr>
        <w:tc>
          <w:tcPr>
            <w:tcW w:w="7120" w:type="dxa"/>
            <w:vAlign w:val="bottom"/>
            <w:gridSpan w:val="3"/>
          </w:tcPr>
          <w:p>
            <w:pPr>
              <w:spacing w:after="0"/>
              <w:rPr>
                <w:sz w:val="20"/>
                <w:szCs w:val="20"/>
                <w:color w:val="auto"/>
              </w:rPr>
            </w:pPr>
            <w:r>
              <w:rPr>
                <w:rFonts w:ascii="Times New Roman" w:cs="Times New Roman" w:eastAsia="Times New Roman" w:hAnsi="Times New Roman"/>
                <w:sz w:val="12"/>
                <w:szCs w:val="12"/>
                <w:color w:val="231F20"/>
              </w:rPr>
              <w:t>International:</w:t>
            </w:r>
          </w:p>
        </w:tc>
        <w:tc>
          <w:tcPr>
            <w:tcW w:w="2000" w:type="dxa"/>
            <w:vAlign w:val="bottom"/>
          </w:tcPr>
          <w:p>
            <w:pPr>
              <w:ind w:left="1120"/>
              <w:spacing w:after="0"/>
              <w:rPr>
                <w:sz w:val="20"/>
                <w:szCs w:val="20"/>
                <w:color w:val="auto"/>
              </w:rPr>
            </w:pPr>
            <w:r>
              <w:rPr>
                <w:rFonts w:ascii="Times New Roman" w:cs="Times New Roman" w:eastAsia="Times New Roman" w:hAnsi="Times New Roman"/>
                <w:sz w:val="12"/>
                <w:szCs w:val="12"/>
                <w:color w:val="231F20"/>
              </w:rPr>
              <w:t>+61-7-3107-6325</w:t>
            </w:r>
          </w:p>
        </w:tc>
      </w:tr>
      <w:tr>
        <w:trPr>
          <w:trHeight w:val="149"/>
        </w:trPr>
        <w:tc>
          <w:tcPr>
            <w:tcW w:w="7120" w:type="dxa"/>
            <w:vAlign w:val="bottom"/>
            <w:gridSpan w:val="3"/>
          </w:tcPr>
          <w:p>
            <w:pPr>
              <w:spacing w:after="0"/>
              <w:rPr>
                <w:sz w:val="20"/>
                <w:szCs w:val="20"/>
                <w:color w:val="auto"/>
              </w:rPr>
            </w:pPr>
            <w:r>
              <w:rPr>
                <w:rFonts w:ascii="Times New Roman" w:cs="Times New Roman" w:eastAsia="Times New Roman" w:hAnsi="Times New Roman"/>
                <w:sz w:val="12"/>
                <w:szCs w:val="12"/>
                <w:color w:val="231F20"/>
              </w:rPr>
              <w:t>Replay PIN (Chinese line):</w:t>
            </w:r>
          </w:p>
        </w:tc>
        <w:tc>
          <w:tcPr>
            <w:tcW w:w="2000" w:type="dxa"/>
            <w:vAlign w:val="bottom"/>
          </w:tcPr>
          <w:p>
            <w:pPr>
              <w:ind w:left="1120"/>
              <w:spacing w:after="0"/>
              <w:rPr>
                <w:sz w:val="20"/>
                <w:szCs w:val="20"/>
                <w:color w:val="auto"/>
              </w:rPr>
            </w:pPr>
            <w:r>
              <w:rPr>
                <w:rFonts w:ascii="Times New Roman" w:cs="Times New Roman" w:eastAsia="Times New Roman" w:hAnsi="Times New Roman"/>
                <w:sz w:val="12"/>
                <w:szCs w:val="12"/>
                <w:color w:val="231F20"/>
              </w:rPr>
              <w:t>10054239</w:t>
            </w:r>
          </w:p>
        </w:tc>
      </w:tr>
      <w:tr>
        <w:trPr>
          <w:trHeight w:val="160"/>
        </w:trPr>
        <w:tc>
          <w:tcPr>
            <w:tcW w:w="7120" w:type="dxa"/>
            <w:vAlign w:val="bottom"/>
            <w:gridSpan w:val="3"/>
          </w:tcPr>
          <w:p>
            <w:pPr>
              <w:spacing w:after="0"/>
              <w:rPr>
                <w:sz w:val="20"/>
                <w:szCs w:val="20"/>
                <w:color w:val="auto"/>
              </w:rPr>
            </w:pPr>
            <w:r>
              <w:rPr>
                <w:rFonts w:ascii="Times New Roman" w:cs="Times New Roman" w:eastAsia="Times New Roman" w:hAnsi="Times New Roman"/>
                <w:sz w:val="12"/>
                <w:szCs w:val="12"/>
                <w:color w:val="231F20"/>
              </w:rPr>
              <w:t>Replay PIN (English simultaneous interpretation line):</w:t>
            </w:r>
          </w:p>
        </w:tc>
        <w:tc>
          <w:tcPr>
            <w:tcW w:w="2000" w:type="dxa"/>
            <w:vAlign w:val="bottom"/>
          </w:tcPr>
          <w:p>
            <w:pPr>
              <w:ind w:left="1120"/>
              <w:spacing w:after="0"/>
              <w:rPr>
                <w:sz w:val="20"/>
                <w:szCs w:val="20"/>
                <w:color w:val="auto"/>
              </w:rPr>
            </w:pPr>
            <w:r>
              <w:rPr>
                <w:rFonts w:ascii="Times New Roman" w:cs="Times New Roman" w:eastAsia="Times New Roman" w:hAnsi="Times New Roman"/>
                <w:sz w:val="12"/>
                <w:szCs w:val="12"/>
                <w:color w:val="231F20"/>
              </w:rPr>
              <w:t>10054238</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Save as disclosed above, all other information contained in the Announcement remains unchanged. This announcement is supplemental to and should be read in conjunction with the Announcement.</w:t>
      </w:r>
    </w:p>
    <w:p>
      <w:pPr>
        <w:spacing w:after="0" w:line="160"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2"/>
          <w:szCs w:val="12"/>
          <w:color w:val="231F20"/>
        </w:rPr>
        <w:t>By Order of the Board</w:t>
      </w:r>
    </w:p>
    <w:p>
      <w:pPr>
        <w:spacing w:after="0" w:line="2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2"/>
          <w:szCs w:val="12"/>
          <w:b w:val="1"/>
          <w:bCs w:val="1"/>
          <w:color w:val="231F20"/>
        </w:rPr>
        <w:t>KE Holdings Inc.</w:t>
      </w:r>
    </w:p>
    <w:p>
      <w:pPr>
        <w:spacing w:after="0" w:line="11"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2"/>
          <w:szCs w:val="12"/>
          <w:b w:val="1"/>
          <w:bCs w:val="1"/>
          <w:color w:val="231F20"/>
        </w:rPr>
        <w:t>Yongdong Peng</w:t>
      </w:r>
    </w:p>
    <w:p>
      <w:pPr>
        <w:spacing w:after="0" w:line="1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2"/>
          <w:szCs w:val="12"/>
          <w:i w:val="1"/>
          <w:iCs w:val="1"/>
          <w:color w:val="231F20"/>
        </w:rPr>
        <w:t>Chairman and Chief Executive Officer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Hong Kong, May 15, 2026</w:t>
      </w:r>
    </w:p>
    <w:p>
      <w:pPr>
        <w:spacing w:after="0" w:line="15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2"/>
          <w:szCs w:val="12"/>
          <w:i w:val="1"/>
          <w:iCs w:val="1"/>
          <w:color w:val="auto"/>
        </w:rPr>
        <w:t>As at the date of this announcement, the Board comprises Mr. Yongdong Peng, Mr. Yigang Shan, Mr. Wangang Xu and Mr. Tao Xu as the executive directors, Mr. Jeffrey Zhaohui Li as the non-executive director, and Ms. Xiaohong Chen, Mr. Hansong Zhu and Mr. Jun Wu as the independent non-executive director.</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sectPr>
      <w:pgSz w:w="11900" w:h="16838" w:orient="portrait"/>
      <w:cols w:equalWidth="0" w:num="1">
        <w:col w:w="11300"/>
      </w:cols>
      <w:pgMar w:left="300" w:top="66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2026-05-18T05:27:37Z</dcterms:created>
  <dcterms:modified xsi:type="dcterms:W3CDTF">2026-05-18T05:27:37Z</dcterms:modified>
</cp:coreProperties>
</file>