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Shan Yigang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ORIENTAL ELECTRONIC TECHNOLOGY BUILDING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2 CHUANGYE ROAD, HAIDIAN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BEKE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SEHK: 2423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3"/>
        <w:gridCol w:w="902"/>
        <w:gridCol w:w="772"/>
        <w:gridCol w:w="599"/>
        <w:gridCol w:w="344"/>
        <w:gridCol w:w="1051"/>
        <w:gridCol w:w="443"/>
        <w:gridCol w:w="606"/>
        <w:gridCol w:w="1352"/>
        <w:gridCol w:w="984"/>
        <w:gridCol w:w="94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316,964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57,194,859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Clover Rich Limited</w:t>
            </w:r>
          </w:p>
        </w:tc>
      </w:tr>
      <w:tr>
        <w:trPr/>
        <w:tc>
          <w:tcPr>
            <w:tcW w:w="220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316,964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40,820,871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Clover Rich Limited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August 14, 2026, 26,677,794 Class A ordinary shares represented by repurchased ADSs and two Class A ordinary shares surrendered by a shareholder were canceled. As a result, Mr. Shan, as a beneficiary of weighted voting rights (as defined under the Hong Kong Listing Rules), converted 316,964 Class B ordinary shares into Class A ordinary shares on 1:1 ratio under the Hong Kong Listing Rules.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/s/SHAN Yigang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3852" TargetMode="External"/><Relationship Id="rId5" Type="http://schemas.openxmlformats.org/officeDocument/2006/relationships/hyperlink" Target="http://www.sec.gov/cgi-bin/browse-edgar?action=getcompany&amp;CIK=0001809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3552</Characters>
  <CharactersWithSpaces>4132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