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906d1_6k.htm"/>
      <w:bookmarkStart w:id="1" w:name="kstm2621906d1_6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995"/>
        <w:gridCol w:w="60"/>
        <w:gridCol w:w="417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190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left"/>
              <w:rPr/>
            </w:pPr>
            <w:hyperlink w:anchor="tm2621906d1_ex99-1.htm">
              <w:r>
                <w:rPr>
                  <w:rStyle w:val="InternetLink"/>
                  <w:rFonts w:ascii="Times New Roman;Times;Serif" w:hAnsi="Times New Roman;Times;Serif"/>
                  <w:sz w:val="20"/>
                </w:rPr>
                <w:t>Next Day Disclosure Return Dated</w:t>
              </w:r>
            </w:hyperlink>
            <w:hyperlink w:anchor="tm2621906d1_ex99-1.htm">
              <w:r>
                <w:rPr>
                  <w:rStyle w:val="InternetLink"/>
                </w:rPr>
                <w:t xml:space="preserve"> </w:t>
              </w:r>
            </w:hyperlink>
            <w:hyperlink w:anchor="tm2621906d1_ex99-1.htm">
              <w:r>
                <w:rPr>
                  <w:rStyle w:val="InternetLink"/>
                  <w:rFonts w:ascii="Times New Roman;Times;Serif" w:hAnsi="Times New Roman;Times;Serif"/>
                </w:rPr>
                <w:t>July 27, 2026</w:t>
              </w:r>
            </w:hyperlink>
          </w:p>
        </w:tc>
      </w:tr>
      <w:tr>
        <w:trPr/>
        <w:tc>
          <w:tcPr>
            <w:tcW w:w="995" w:type="dxa"/>
            <w:tcBorders/>
            <w:tcMar>
              <w:bottom w:w="0" w:type="dxa"/>
            </w:tcMar>
            <w:vAlign w:val="center"/>
          </w:tcPr>
          <w:p>
            <w:pPr>
              <w:pStyle w:val="TableContents"/>
              <w:bidi w:val="0"/>
              <w:spacing w:before="0" w:after="283"/>
              <w:jc w:val="center"/>
              <w:rPr/>
            </w:pPr>
            <w:hyperlink w:anchor="tm2621906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left"/>
              <w:rPr/>
            </w:pPr>
            <w:hyperlink w:anchor="tm2621906d1_ex99-2.htm">
              <w:r>
                <w:rPr>
                  <w:rStyle w:val="InternetLink"/>
                  <w:rFonts w:ascii="Times New Roman;Times;Serif" w:hAnsi="Times New Roman;Times;Serif"/>
                  <w:sz w:val="20"/>
                </w:rPr>
                <w:t>Next Day Disclosure Return Dated</w:t>
              </w:r>
            </w:hyperlink>
            <w:hyperlink w:anchor="tm2621906d1_ex99-2.htm">
              <w:r>
                <w:rPr>
                  <w:rStyle w:val="InternetLink"/>
                </w:rPr>
                <w:t xml:space="preserve"> </w:t>
              </w:r>
            </w:hyperlink>
            <w:hyperlink w:anchor="tm2621906d1_ex99-2.htm">
              <w:r>
                <w:rPr>
                  <w:rStyle w:val="InternetLink"/>
                  <w:rFonts w:ascii="Times New Roman;Times;Serif" w:hAnsi="Times New Roman;Times;Serif"/>
                </w:rPr>
                <w:t>July 28, 2026</w:t>
              </w:r>
            </w:hyperlink>
          </w:p>
        </w:tc>
      </w:tr>
      <w:tr>
        <w:trPr/>
        <w:tc>
          <w:tcPr>
            <w:tcW w:w="995" w:type="dxa"/>
            <w:tcBorders/>
            <w:tcMar>
              <w:bottom w:w="0" w:type="dxa"/>
            </w:tcMar>
            <w:vAlign w:val="center"/>
          </w:tcPr>
          <w:p>
            <w:pPr>
              <w:pStyle w:val="TableContents"/>
              <w:bidi w:val="0"/>
              <w:spacing w:before="0" w:after="283"/>
              <w:jc w:val="center"/>
              <w:rPr/>
            </w:pPr>
            <w:hyperlink w:anchor="tm2621906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left"/>
              <w:rPr/>
            </w:pPr>
            <w:hyperlink w:anchor="tm2621906d1_ex99-3.htm">
              <w:r>
                <w:rPr>
                  <w:rStyle w:val="InternetLink"/>
                  <w:rFonts w:ascii="Times New Roman;Times;Serif" w:hAnsi="Times New Roman;Times;Serif"/>
                  <w:sz w:val="20"/>
                </w:rPr>
                <w:t>Next Day Disclosure Return Dated</w:t>
              </w:r>
            </w:hyperlink>
            <w:hyperlink w:anchor="tm2621906d1_ex99-3.htm">
              <w:r>
                <w:rPr>
                  <w:rStyle w:val="InternetLink"/>
                </w:rPr>
                <w:t xml:space="preserve"> </w:t>
              </w:r>
            </w:hyperlink>
            <w:hyperlink w:anchor="tm2621906d1_ex99-3.htm">
              <w:r>
                <w:rPr>
                  <w:rStyle w:val="InternetLink"/>
                  <w:rFonts w:ascii="Times New Roman;Times;Serif" w:hAnsi="Times New Roman;Times;Serif"/>
                </w:rPr>
                <w:t>July 29, 2026</w:t>
              </w:r>
            </w:hyperlink>
          </w:p>
        </w:tc>
      </w:tr>
      <w:tr>
        <w:trPr/>
        <w:tc>
          <w:tcPr>
            <w:tcW w:w="995" w:type="dxa"/>
            <w:tcBorders/>
            <w:tcMar>
              <w:bottom w:w="0" w:type="dxa"/>
            </w:tcMar>
            <w:vAlign w:val="center"/>
          </w:tcPr>
          <w:p>
            <w:pPr>
              <w:pStyle w:val="TableContents"/>
              <w:bidi w:val="0"/>
              <w:spacing w:before="0" w:after="283"/>
              <w:jc w:val="center"/>
              <w:rPr/>
            </w:pPr>
            <w:hyperlink w:anchor="tm2621906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left"/>
              <w:rPr/>
            </w:pPr>
            <w:hyperlink w:anchor="tm2621906d1_ex99-4.htm">
              <w:r>
                <w:rPr>
                  <w:rStyle w:val="InternetLink"/>
                  <w:rFonts w:ascii="Times New Roman;Times;Serif" w:hAnsi="Times New Roman;Times;Serif"/>
                  <w:sz w:val="20"/>
                </w:rPr>
                <w:t>Next Day Disclosure Return Dated</w:t>
              </w:r>
            </w:hyperlink>
            <w:hyperlink w:anchor="tm2621906d1_ex99-4.htm">
              <w:r>
                <w:rPr>
                  <w:rStyle w:val="InternetLink"/>
                </w:rPr>
                <w:t xml:space="preserve"> </w:t>
              </w:r>
            </w:hyperlink>
            <w:hyperlink w:anchor="tm2621906d1_ex99-4.htm">
              <w:r>
                <w:rPr>
                  <w:rStyle w:val="InternetLink"/>
                  <w:rFonts w:ascii="Times New Roman;Times;Serif" w:hAnsi="Times New Roman;Times;Serif"/>
                </w:rPr>
                <w:t>July 30, 2026</w:t>
              </w:r>
            </w:hyperlink>
          </w:p>
        </w:tc>
      </w:tr>
      <w:tr>
        <w:trPr/>
        <w:tc>
          <w:tcPr>
            <w:tcW w:w="995" w:type="dxa"/>
            <w:tcBorders/>
            <w:tcMar>
              <w:bottom w:w="0" w:type="dxa"/>
            </w:tcMar>
            <w:vAlign w:val="center"/>
          </w:tcPr>
          <w:p>
            <w:pPr>
              <w:pStyle w:val="TableContents"/>
              <w:bidi w:val="0"/>
              <w:spacing w:before="0" w:after="283"/>
              <w:jc w:val="center"/>
              <w:rPr/>
            </w:pPr>
            <w:hyperlink w:anchor="tm2621906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left"/>
              <w:rPr/>
            </w:pPr>
            <w:hyperlink w:anchor="tm2621906d1_ex99-5.htm">
              <w:r>
                <w:rPr>
                  <w:rStyle w:val="InternetLink"/>
                  <w:rFonts w:ascii="Times New Roman;Times;Serif" w:hAnsi="Times New Roman;Times;Serif"/>
                  <w:sz w:val="20"/>
                </w:rPr>
                <w:t>Next Day Disclosure Return Dated</w:t>
              </w:r>
            </w:hyperlink>
            <w:hyperlink w:anchor="tm2621906d1_ex99-5.htm">
              <w:r>
                <w:rPr>
                  <w:rStyle w:val="InternetLink"/>
                </w:rPr>
                <w:t xml:space="preserve"> </w:t>
              </w:r>
            </w:hyperlink>
            <w:hyperlink w:anchor="tm2621906d1_ex99-5.htm">
              <w:r>
                <w:rPr>
                  <w:rStyle w:val="InternetLink"/>
                  <w:rFonts w:ascii="Times New Roman;Times;Serif" w:hAnsi="Times New Roman;Times;Serif"/>
                </w:rPr>
                <w:t>July 31,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tblLayout w:type="fixed"/>
        <w:tblCellMar>
          <w:top w:w="0" w:type="dxa"/>
          <w:left w:w="0" w:type="dxa"/>
          <w:bottom w:w="0" w:type="dxa"/>
          <w:right w:w="0" w:type="dxa"/>
        </w:tblCellMar>
      </w:tblPr>
      <w:tblGrid>
        <w:gridCol w:w="60"/>
        <w:gridCol w:w="1775"/>
      </w:tblGrid>
      <w:tr>
        <w:trPr/>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b/>
              </w:rPr>
            </w:pPr>
            <w:r>
              <w:rPr>
                <w:b/>
              </w:rPr>
              <w:t>KE Holdings Inc.</w:t>
            </w:r>
          </w:p>
        </w:tc>
      </w:tr>
    </w:tbl>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1906d1_ex99-1.htm"/>
      <w:bookmarkStart w:id="3" w:name="kstm2621906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27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23 July 2026 3,326,488,417 0 3,326,488,417 1). Other (please specify) See Part B Date of changes 24 July 2026 % Closing balance as at (Notes 5 and 6) 24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0.027 % USD 5.31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24 July 2026 941,610 On another stock exchange New York Stock Exchange USD 5.34 USD 5.28 USD 4,999,980.49 Total number of shares repurchased 941,610 Aggregate price paid $ USD 4,999,980.49 Number of shares repurchased for cancellation 941,610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22,222,636 4). As a % of number of issued shares (excluding treasury shares) as at the date of the resolution granting the repurchase mandate (a) x 100 / number of issued shares (excluding treasury shares) as at the date of the resolution granting the repurchase mandate 0.642 % 5). Moratorium period for any issue of new shares, or sale or transfer of treasury shares after the share repurchase(s) set out in Part A (Note 2) Up to 23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1906d1_ex99-2.htm"/>
      <w:bookmarkStart w:id="5" w:name="kstm2621906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28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24 July 2026 3,326,488,417 0 3,326,488,417 1). Other (please specify) See Part B Date of changes 27 July 2026 % Closing balance as at (Notes 5 and 6) 27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0.016 % USD 5.4119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27 July 2026 554,337 On another stock exchange New York Stock Exchange USD 5.45 USD 5.36 USD 2,999,997.93 Total number of shares repurchased 554,337 Aggregate price paid $ USD 2,999,997.93 Number of shares repurchased for cancellation 554,337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22,776,973 4). As a % of number of issued shares (excluding treasury shares) as at the date of the resolution granting the repurchase mandate (a) x 100 / number of issued shares (excluding treasury shares) as at the date of the resolution granting the repurchase mandate 0.658 % 5). Moratorium period for any issue of new shares, or sale or transfer of treasury shares after the share repurchase(s) set out in Part A (Note 2) Up to 26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1906d1_ex99-3.htm"/>
      <w:bookmarkStart w:id="7" w:name="kstm2621906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29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27 July 2026 3,326,488,417 0 3,326,488,417 1). Other (please specify) See Part B Date of changes 28 July 2026 % Closing balance as at (Notes 5 and 6) 28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0.016 % USD 5.5227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28 July 2026 543,207 On another stock exchange New York Stock Exchange USD 5.56 USD 5.44 USD 2,999,987.41 Total number of shares repurchased 543,207 Aggregate price paid $ USD 2,999,987.41 Number of shares repurchased for cancellation 543,207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23,320,180 4). As a % of number of issued shares (excluding treasury shares) as at the date of the resolution granting the repurchase mandate (a) x 100 / number of issued shares (excluding treasury shares) as at the date of the resolution granting the repurchase mandate 0.674 % 5). Moratorium period for any issue of new shares, or sale or transfer of treasury shares after the share repurchase(s) set out in Part A (Note 2) Up to 27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1906d1_ex99-4.htm"/>
      <w:bookmarkStart w:id="9" w:name="kstm2621906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30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July 2026 3,326,488,417 0 3,326,488,417 1). Other (please specify) See Part B Date of changes 29 July 2026 % Closing balance as at (Notes 5 and 6) 29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0.016 % USD 5.5756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29 July 2026 538,059 On another stock exchange New York Stock Exchange USD 5.62 USD 5.54 USD 2,999,983.83 Total number of shares repurchased 538,059 Aggregate price paid $ USD 2,999,983.83 Number of shares repurchased for cancellation 538,059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23,858,239 4). As a % of number of issued shares (excluding treasury shares) as at the date of the resolution granting the repurchase mandate (a) x 100 / number of issued shares (excluding treasury shares) as at the date of the resolution granting the repurchase mandate 0.689 % 5). Moratorium period for any issue of new shares, or sale or transfer of treasury shares after the share repurchase(s) set out in Part A (Note 2) Up to 28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1906d1_ex99-5.htm"/>
      <w:bookmarkStart w:id="11" w:name="kstm2621906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31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July 2026 3,326,488,417 0 3,326,488,417 1). Other (please specify) See Part B Date of changes 30 July 2026 % Closing balance as at (Notes 5 and 6) 30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0.015 % USD 5.5933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30 July 2026 536,358 On another stock exchange New York Stock Exchange USD 5.64 USD 5.54 USD 2,999,993.32 Total number of shares repurchased 536,358 Aggregate price paid $ USD 2,999,993.32 Number of shares repurchased for cancellation 536,358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24,394,597 4). As a % of number of issued shares (excluding treasury shares) as at the date of the resolution granting the repurchase mandate (a) x 100 / number of issued shares (excluding treasury shares) as at the date of the resolution granting the repurchase mandate 0.705 % 5). Moratorium period for any issue of new shares, or sale or transfer of treasury shares after the share repurchase(s) set out in Part A (Note 2) Up to 29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2.jpeg"/><Relationship Id="rId18" Type="http://schemas.openxmlformats.org/officeDocument/2006/relationships/image" Target="media/image7.jpeg"/><Relationship Id="rId19" Type="http://schemas.openxmlformats.org/officeDocument/2006/relationships/image" Target="media/image13.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4.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15.jpeg"/><Relationship Id="rId28" Type="http://schemas.openxmlformats.org/officeDocument/2006/relationships/image" Target="media/image7.jpeg"/><Relationship Id="rId29" Type="http://schemas.openxmlformats.org/officeDocument/2006/relationships/image" Target="media/image16.jpeg"/><Relationship Id="rId30" Type="http://schemas.openxmlformats.org/officeDocument/2006/relationships/image" Target="media/image9.jpeg"/><Relationship Id="rId31" Type="http://schemas.openxmlformats.org/officeDocument/2006/relationships/image" Target="media/image10.jpeg"/><Relationship Id="rId32" Type="http://schemas.openxmlformats.org/officeDocument/2006/relationships/image" Target="media/image17.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18.jpeg"/><Relationship Id="rId38" Type="http://schemas.openxmlformats.org/officeDocument/2006/relationships/image" Target="media/image7.jpeg"/><Relationship Id="rId39" Type="http://schemas.openxmlformats.org/officeDocument/2006/relationships/image" Target="media/image19.jpeg"/><Relationship Id="rId40" Type="http://schemas.openxmlformats.org/officeDocument/2006/relationships/image" Target="media/image9.jpeg"/><Relationship Id="rId41" Type="http://schemas.openxmlformats.org/officeDocument/2006/relationships/image" Target="media/image10.jpeg"/><Relationship Id="rId42" Type="http://schemas.openxmlformats.org/officeDocument/2006/relationships/image" Target="media/image20.jpeg"/><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21.jpeg"/><Relationship Id="rId48" Type="http://schemas.openxmlformats.org/officeDocument/2006/relationships/image" Target="media/image7.jpeg"/><Relationship Id="rId49" Type="http://schemas.openxmlformats.org/officeDocument/2006/relationships/image" Target="media/image22.jpeg"/><Relationship Id="rId50" Type="http://schemas.openxmlformats.org/officeDocument/2006/relationships/image" Target="media/image9.jpeg"/><Relationship Id="rId51" Type="http://schemas.openxmlformats.org/officeDocument/2006/relationships/image" Target="media/image10.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12763</Words>
  <Characters>60670</Characters>
  <CharactersWithSpaces>73409</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