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Peng Yongdong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ORIENTAL ELECTRONIC TECHNOLOGY BUILDING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2 CHUANGYE ROAD, HAIDIAN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BEKE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SEHK: 2423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8"/>
        <w:gridCol w:w="922"/>
        <w:gridCol w:w="792"/>
        <w:gridCol w:w="612"/>
        <w:gridCol w:w="341"/>
        <w:gridCol w:w="1059"/>
        <w:gridCol w:w="421"/>
        <w:gridCol w:w="588"/>
        <w:gridCol w:w="1351"/>
        <w:gridCol w:w="967"/>
        <w:gridCol w:w="12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730,525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78,858,234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controlled corporation</w:t>
            </w:r>
          </w:p>
        </w:tc>
      </w:tr>
      <w:tr>
        <w:trPr/>
        <w:tc>
          <w:tcPr>
            <w:tcW w:w="19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730,525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94,082,291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controlled corporation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14, 2026, 26,677,794 Class A ordinary shares represented by repurchased ADSs and two Class A ordinary shares surrendered by a shareholder were canceled. As a result, Mr. Peng, as a beneficiary of weighted voting rights (as defined under the Hong Kong Listing Rules), converted 730,525 Class B ordinary shares into Class A ordinary shares on 1:1 ratio under the Hong Kong Listing Rules.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PENG Yongdong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0584" TargetMode="External"/><Relationship Id="rId5" Type="http://schemas.openxmlformats.org/officeDocument/2006/relationships/hyperlink" Target="http://www.sec.gov/cgi-bin/browse-edgar?action=getcompany&amp;CIK=0001809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3568</Characters>
  <CharactersWithSpaces>4148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