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par value US$0.00002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Ever Orient International Ltd.</w:t>
              <w:br/>
              <w:t xml:space="preserve">Craigmuir Chambers, Road Town, </w:t>
              <w:br/>
              <w:t>Tortola, D8, VG1110</w:t>
              <w:br/>
              <w:t>86 10 5810 4689</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Ever Orient International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156,906,542.00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156,906,542.00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156,906,542.00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62,824,251 Class A ordinary shares and 94,082,291 Class B ordinary shares held by Ever Orient International Limited. Calculation is based on a total of 3,309,006,249 issued and outstanding ordinary shares (consisting of 3,174,103,087 Class A ordinary shares and 134,903,162 Class B ordinary shares) of the Issuer as of August 31, 2026 as a single class, reported on Exhibit 99.5 to the Issuer's current report on Form 6-K filed on September 8, 2026. The Class B ordinary shares are treated as converted into Class A ordinary shares only for the purpose of calculating the percentage ownership of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Data Bliss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156,906,542.00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156,906,542.00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156,906,542.00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62,824,251 Class A ordinary shares and 94,082,291 Class B ordinary shares held by Ever Orient International Limited, which is wholly owned by Data Bliss Limited. Calculation is based on a total of 3,309,006,249 issued and outstanding ordinary shares (consisting of 3,174,103,087 Class A ordinary shares and 134,903,162 Class B ordinary shares) of the Issuer as of August 31, 2026 as a single class, reported on Exhibit 99.5 to the Issuer's current report on Form 6-K filed on September 8, 2026. The Class B ordinary shares are treated as converted into Class A ordinary shares only for the purpose of calculating the percentage ownership of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PENG Yongdong</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SC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156,906,542.00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156,906,542.00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156,906,542.00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Represents 62,824,251 Class A ordinary shares and 94,082,291 Class B ordinary shares held by Ever Orient International Limited, which is wholly owned by Data Bliss Limited and beneficially owned by Mr. PENG Yongdong. Calculation is based on a total of 3,309,006,249 issued and outstanding ordinary shares (consisting of 3,174,103,087 Class A ordinary shares and 134,903,162 Class B ordinary shares) of the Issuer as of August 31, 2026 as a single class, reported on Exhibit 99.5 to the Issuer's current report on Form 6-K filed on September 8, 2026. The Class B ordinary shares are treated as converted into Class A ordinary shares only for the purpose of calculating the percentage ownership of the Reporting Persons.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15"/>
        <w:gridCol w:w="8920"/>
        <w:gridCol w:w="170"/>
      </w:tblGrid>
      <w:tr>
        <w:trPr/>
        <w:tc>
          <w:tcPr>
            <w:tcW w:w="1115" w:type="dxa"/>
            <w:tcBorders/>
            <w:vAlign w:val="center"/>
          </w:tcPr>
          <w:p>
            <w:pPr>
              <w:pStyle w:val="TableContents"/>
              <w:bidi w:val="0"/>
              <w:spacing w:before="0" w:after="283"/>
              <w:jc w:val="left"/>
              <w:rPr/>
            </w:pPr>
            <w:r>
              <w:rPr/>
              <w:t>Item 1.</w:t>
            </w:r>
          </w:p>
        </w:tc>
        <w:tc>
          <w:tcPr>
            <w:tcW w:w="8920" w:type="dxa"/>
            <w:tcBorders/>
            <w:vAlign w:val="center"/>
          </w:tcPr>
          <w:p>
            <w:pPr>
              <w:pStyle w:val="TableContents"/>
              <w:bidi w:val="0"/>
              <w:spacing w:before="0" w:after="283"/>
              <w:jc w:val="left"/>
              <w:rPr/>
            </w:pPr>
            <w:r>
              <w:rPr/>
              <w:t>Security and Issuer</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US$0.00002 per share</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Name of Issuer: </w:t>
            </w:r>
          </w:p>
          <w:p>
            <w:pPr>
              <w:pStyle w:val="TableContents"/>
              <w:bidi w:val="0"/>
              <w:spacing w:before="0" w:after="0"/>
              <w:jc w:val="left"/>
              <w:rPr/>
            </w:pPr>
            <w:r>
              <w:rPr/>
              <w:t>KE Holdings Inc.</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Oriental Electronic Technology Building, No. 2 Chuangye Road, Haidian District, Beijing, CHINA , 100086.</w:t>
            </w:r>
          </w:p>
        </w:tc>
        <w:tc>
          <w:tcPr>
            <w:tcW w:w="170"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Statement on Schedule 13D originally filed with the Securities and Exchange Commission (the "Commission") on May 30, 2024 (the "Statement"), is hereby amended and supplemented by this Amendment No. 1 to Schedule 13D (the "Amendment"). Capitalized terms used herein and not otherwise defined have the meanings assigned to such terms in the Statement. Except as otherwise provided herein, each Item of the Statement remains unchanged.</w:t>
            </w:r>
          </w:p>
        </w:tc>
      </w:tr>
      <w:tr>
        <w:trPr/>
        <w:tc>
          <w:tcPr>
            <w:tcW w:w="1115" w:type="dxa"/>
            <w:tcBorders/>
            <w:vAlign w:val="center"/>
          </w:tcPr>
          <w:p>
            <w:pPr>
              <w:pStyle w:val="TableContents"/>
              <w:bidi w:val="0"/>
              <w:spacing w:before="0" w:after="283"/>
              <w:jc w:val="left"/>
              <w:rPr/>
            </w:pPr>
            <w:r>
              <w:rPr/>
              <w:t>Item 2.</w:t>
            </w:r>
          </w:p>
        </w:tc>
        <w:tc>
          <w:tcPr>
            <w:tcW w:w="8920" w:type="dxa"/>
            <w:tcBorders/>
            <w:vAlign w:val="center"/>
          </w:tcPr>
          <w:p>
            <w:pPr>
              <w:pStyle w:val="TableContents"/>
              <w:bidi w:val="0"/>
              <w:spacing w:before="0" w:after="283"/>
              <w:jc w:val="left"/>
              <w:rPr/>
            </w:pPr>
            <w:r>
              <w:rPr/>
              <w:t>Identity and Background</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(f)</w:t>
            </w:r>
          </w:p>
        </w:tc>
        <w:tc>
          <w:tcPr>
            <w:tcW w:w="8920" w:type="dxa"/>
            <w:tcBorders/>
            <w:vAlign w:val="center"/>
          </w:tcPr>
          <w:p>
            <w:pPr>
              <w:pStyle w:val="TableContents"/>
              <w:bidi w:val="0"/>
              <w:spacing w:before="0" w:after="0"/>
              <w:jc w:val="left"/>
              <w:rPr/>
            </w:pPr>
            <w:r>
              <w:rPr/>
              <w:t>No change from the Statement.</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3.</w:t>
            </w:r>
          </w:p>
        </w:tc>
        <w:tc>
          <w:tcPr>
            <w:tcW w:w="8920" w:type="dxa"/>
            <w:tcBorders/>
            <w:vAlign w:val="center"/>
          </w:tcPr>
          <w:p>
            <w:pPr>
              <w:pStyle w:val="TableContents"/>
              <w:bidi w:val="0"/>
              <w:spacing w:before="0" w:after="283"/>
              <w:jc w:val="left"/>
              <w:rPr/>
            </w:pPr>
            <w:r>
              <w:rPr/>
              <w:t>Source and Amount of Funds or Other Consideration</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Other than the continuing conversion of certain Class B ordinary shares to Class A ordinary shares from time to time as described in the Statement, there is no change from the information on the Statement.</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4.</w:t>
            </w:r>
          </w:p>
        </w:tc>
        <w:tc>
          <w:tcPr>
            <w:tcW w:w="8920" w:type="dxa"/>
            <w:tcBorders/>
            <w:vAlign w:val="center"/>
          </w:tcPr>
          <w:p>
            <w:pPr>
              <w:pStyle w:val="TableContents"/>
              <w:bidi w:val="0"/>
              <w:spacing w:before="0" w:after="283"/>
              <w:jc w:val="left"/>
              <w:rPr/>
            </w:pPr>
            <w:r>
              <w:rPr/>
              <w:t>Purpose of Transaction</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On September 25, 2026, the Reporting Persons disposed of 5,344,661 ADSs representing 16,033,983 Class A ordinary shares, causing the beneficial ownership percentage of the Reporting Persons to decrease to below five percent of the Issuer's total issued and outstanding ordinary shares.</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Item 5.</w:t>
            </w:r>
          </w:p>
        </w:tc>
        <w:tc>
          <w:tcPr>
            <w:tcW w:w="8920" w:type="dxa"/>
            <w:tcBorders/>
            <w:vAlign w:val="center"/>
          </w:tcPr>
          <w:p>
            <w:pPr>
              <w:pStyle w:val="TableContents"/>
              <w:bidi w:val="0"/>
              <w:spacing w:before="0" w:after="283"/>
              <w:jc w:val="left"/>
              <w:rPr/>
            </w:pPr>
            <w:r>
              <w:rPr/>
              <w:t>Interest in Securities of the Issuer</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spacing w:before="0" w:after="0"/>
              <w:jc w:val="left"/>
              <w:rPr/>
            </w:pPr>
            <w:r>
              <w:rPr/>
              <w:t>Items 7 through 11 and Item 13 of each of the cover pages of this Statement for the Reporting Persons are incorporated herein by reference.</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spacing w:before="0" w:after="0"/>
              <w:jc w:val="left"/>
              <w:rPr/>
            </w:pPr>
            <w:r>
              <w:rPr/>
              <w:t>Items 7 through 11 and Item 13 of each of the cover pages of this Statement for the Reporting Persons are incorporated herein by reference.</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0"/>
              <w:jc w:val="left"/>
              <w:rPr/>
            </w:pPr>
            <w:r>
              <w:rPr/>
              <w:t>On September 25, 2026, the Reporting Persons disposed of 5,344,661 ADSs representing 16,033,983 Class A ordinary shares, causing the beneficial ownership percentage of the Reporting Persons to decrease to below five percent of the Issuer's total issued and outstanding ordinary shares.</w:t>
            </w:r>
          </w:p>
        </w:tc>
        <w:tc>
          <w:tcPr>
            <w:tcW w:w="170" w:type="dxa"/>
            <w:tcBorders/>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0"/>
              <w:jc w:val="left"/>
              <w:rPr/>
            </w:pPr>
            <w:r>
              <w:rPr/>
              <w:t>September 25, 2026</w:t>
            </w:r>
          </w:p>
        </w:tc>
        <w:tc>
          <w:tcPr>
            <w:tcW w:w="17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Ever Orient International Limited</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PENG Yongdong</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PENG Yongdong, Director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Data Bliss Limited</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0"/>
        <w:gridCol w:w="4405"/>
      </w:tblGrid>
      <w:tr>
        <w:trPr/>
        <w:tc>
          <w:tcPr>
            <w:tcW w:w="58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Glory CD Limited</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Glory CD Limited,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05"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PENG Yongdong</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PENG Yongdong</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PENG Yongdong</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1350</Words>
  <Characters>7104</Characters>
  <CharactersWithSpaces>8349</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